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1E" w:rsidRPr="0020358A" w:rsidRDefault="00061C1E" w:rsidP="00D112E5">
      <w:pPr>
        <w:jc w:val="both"/>
        <w:rPr>
          <w:rFonts w:ascii="Book Antiqua" w:hAnsi="Book Antiqua" w:cs="Book Antiqua"/>
          <w:b/>
          <w:bCs/>
          <w:sz w:val="24"/>
          <w:szCs w:val="24"/>
        </w:rPr>
      </w:pPr>
      <w:r>
        <w:rPr>
          <w:rFonts w:ascii="Book Antiqua" w:hAnsi="Book Antiqua" w:cs="Book Antiqua"/>
          <w:b/>
          <w:bCs/>
        </w:rPr>
        <w:br/>
      </w:r>
      <w:r w:rsidRPr="0020358A">
        <w:rPr>
          <w:rFonts w:ascii="Book Antiqua" w:hAnsi="Book Antiqua" w:cs="Book Antiqua"/>
          <w:b/>
          <w:bCs/>
          <w:sz w:val="24"/>
          <w:szCs w:val="24"/>
        </w:rPr>
        <w:t>Emergency Medical Treatment and Active Labor Act (EMTALA)</w:t>
      </w:r>
    </w:p>
    <w:p w:rsidR="00061C1E" w:rsidRPr="00D2530E" w:rsidRDefault="00061C1E" w:rsidP="00D112E5">
      <w:pPr>
        <w:jc w:val="both"/>
        <w:rPr>
          <w:rFonts w:ascii="Book Antiqua" w:hAnsi="Book Antiqua" w:cs="Book Antiqua"/>
        </w:rPr>
      </w:pPr>
      <w:r w:rsidRPr="00D2530E">
        <w:rPr>
          <w:rFonts w:ascii="Book Antiqua" w:hAnsi="Book Antiqua" w:cs="Book Antiqua"/>
        </w:rPr>
        <w:t>EMTALA</w:t>
      </w:r>
      <w:r>
        <w:rPr>
          <w:rFonts w:ascii="Book Antiqua" w:hAnsi="Book Antiqua" w:cs="Book Antiqua"/>
        </w:rPr>
        <w:t>,</w:t>
      </w:r>
      <w:r w:rsidRPr="00D2530E">
        <w:rPr>
          <w:rFonts w:ascii="Book Antiqua" w:hAnsi="Book Antiqua" w:cs="Book Antiqua"/>
        </w:rPr>
        <w:t xml:space="preserve"> or the “anti-dumping law</w:t>
      </w:r>
      <w:r>
        <w:rPr>
          <w:rFonts w:ascii="Book Antiqua" w:hAnsi="Book Antiqua" w:cs="Book Antiqua"/>
        </w:rPr>
        <w:t>,</w:t>
      </w:r>
      <w:r w:rsidRPr="00D2530E">
        <w:rPr>
          <w:rFonts w:ascii="Book Antiqua" w:hAnsi="Book Antiqua" w:cs="Book Antiqua"/>
        </w:rPr>
        <w:t xml:space="preserve">” is a federal law enacted in 1986.  Its goal is to ensure no one suffers harm from a medical condition because they do not have insurance coverage or money to pay for their care.  It requires emergency departments to stabilize and treat all persons regardless of their insurance status or ability to pay. </w:t>
      </w:r>
    </w:p>
    <w:p w:rsidR="00061C1E" w:rsidRPr="00D2530E" w:rsidRDefault="00061C1E" w:rsidP="00D112E5">
      <w:pPr>
        <w:jc w:val="both"/>
        <w:rPr>
          <w:rFonts w:ascii="Book Antiqua" w:hAnsi="Book Antiqua" w:cs="Book Antiqua"/>
        </w:rPr>
      </w:pPr>
      <w:r w:rsidRPr="00D2530E">
        <w:rPr>
          <w:rFonts w:ascii="Book Antiqua" w:hAnsi="Book Antiqua" w:cs="Book Antiqua"/>
        </w:rPr>
        <w:t xml:space="preserve">EMTALA further requires any hospital participating in the Medicare program that has an emergency department to screen and stabilize emergency medical conditions of </w:t>
      </w:r>
      <w:r w:rsidRPr="00ED07F7">
        <w:rPr>
          <w:rFonts w:ascii="Book Antiqua" w:hAnsi="Book Antiqua" w:cs="Book Antiqua"/>
          <w:b/>
          <w:bCs/>
          <w:i/>
          <w:iCs/>
        </w:rPr>
        <w:t>all</w:t>
      </w:r>
      <w:r w:rsidRPr="00D2530E">
        <w:rPr>
          <w:rFonts w:ascii="Book Antiqua" w:hAnsi="Book Antiqua" w:cs="Book Antiqua"/>
        </w:rPr>
        <w:t xml:space="preserve"> patients in a non-discriminatory manner regardless of diagnosis (example</w:t>
      </w:r>
      <w:r>
        <w:rPr>
          <w:rFonts w:ascii="Book Antiqua" w:hAnsi="Book Antiqua" w:cs="Book Antiqua"/>
        </w:rPr>
        <w:t>:</w:t>
      </w:r>
      <w:r w:rsidRPr="00D2530E">
        <w:rPr>
          <w:rFonts w:ascii="Book Antiqua" w:hAnsi="Book Antiqua" w:cs="Book Antiqua"/>
        </w:rPr>
        <w:t xml:space="preserve"> HIV/AIDS), financial status </w:t>
      </w:r>
      <w:r>
        <w:rPr>
          <w:rFonts w:ascii="Book Antiqua" w:hAnsi="Book Antiqua" w:cs="Book Antiqua"/>
        </w:rPr>
        <w:t>(</w:t>
      </w:r>
      <w:r w:rsidRPr="00D2530E">
        <w:rPr>
          <w:rFonts w:ascii="Book Antiqua" w:hAnsi="Book Antiqua" w:cs="Book Antiqua"/>
        </w:rPr>
        <w:t>example</w:t>
      </w:r>
      <w:r>
        <w:rPr>
          <w:rFonts w:ascii="Book Antiqua" w:hAnsi="Book Antiqua" w:cs="Book Antiqua"/>
        </w:rPr>
        <w:t>:  uninsured, Medicaid), race,</w:t>
      </w:r>
      <w:r w:rsidRPr="00D2530E">
        <w:rPr>
          <w:rFonts w:ascii="Book Antiqua" w:hAnsi="Book Antiqua" w:cs="Book Antiqua"/>
        </w:rPr>
        <w:t xml:space="preserve"> color, national origin, or disability.  EMTALA is triggered when:</w:t>
      </w:r>
    </w:p>
    <w:p w:rsidR="00061C1E" w:rsidRPr="00D2530E" w:rsidRDefault="00061C1E" w:rsidP="005F25F6">
      <w:pPr>
        <w:pStyle w:val="ListParagraph"/>
        <w:numPr>
          <w:ilvl w:val="0"/>
          <w:numId w:val="5"/>
        </w:numPr>
        <w:jc w:val="both"/>
        <w:rPr>
          <w:rFonts w:ascii="Book Antiqua" w:hAnsi="Book Antiqua" w:cs="Book Antiqua"/>
        </w:rPr>
      </w:pPr>
      <w:r>
        <w:rPr>
          <w:rFonts w:ascii="Book Antiqua" w:hAnsi="Book Antiqua" w:cs="Book Antiqua"/>
        </w:rPr>
        <w:t>A</w:t>
      </w:r>
      <w:r w:rsidRPr="00D2530E">
        <w:rPr>
          <w:rFonts w:ascii="Book Antiqua" w:hAnsi="Book Antiqua" w:cs="Book Antiqua"/>
        </w:rPr>
        <w:t>n individual comes to the emergency depart</w:t>
      </w:r>
      <w:r>
        <w:rPr>
          <w:rFonts w:ascii="Book Antiqua" w:hAnsi="Book Antiqua" w:cs="Book Antiqua"/>
        </w:rPr>
        <w:t>ment or onto hospital property;</w:t>
      </w:r>
    </w:p>
    <w:p w:rsidR="00061C1E" w:rsidRPr="00D2530E" w:rsidRDefault="00061C1E" w:rsidP="005F25F6">
      <w:pPr>
        <w:pStyle w:val="ListParagraph"/>
        <w:numPr>
          <w:ilvl w:val="0"/>
          <w:numId w:val="5"/>
        </w:numPr>
        <w:jc w:val="both"/>
        <w:rPr>
          <w:rFonts w:ascii="Book Antiqua" w:hAnsi="Book Antiqua" w:cs="Book Antiqua"/>
        </w:rPr>
      </w:pPr>
      <w:r>
        <w:rPr>
          <w:rFonts w:ascii="Book Antiqua" w:hAnsi="Book Antiqua" w:cs="Book Antiqua"/>
        </w:rPr>
        <w:t>A</w:t>
      </w:r>
      <w:r w:rsidRPr="00D2530E">
        <w:rPr>
          <w:rFonts w:ascii="Book Antiqua" w:hAnsi="Book Antiqua" w:cs="Book Antiqua"/>
        </w:rPr>
        <w:t xml:space="preserve"> request for examination or treatment is made by the individual or on the individual’s behalf</w:t>
      </w:r>
      <w:r>
        <w:rPr>
          <w:rFonts w:ascii="Book Antiqua" w:hAnsi="Book Antiqua" w:cs="Book Antiqua"/>
        </w:rPr>
        <w:t>;</w:t>
      </w:r>
      <w:r w:rsidRPr="00D2530E">
        <w:rPr>
          <w:rFonts w:ascii="Book Antiqua" w:hAnsi="Book Antiqua" w:cs="Book Antiqua"/>
        </w:rPr>
        <w:t xml:space="preserve"> or</w:t>
      </w:r>
    </w:p>
    <w:p w:rsidR="00061C1E" w:rsidRPr="00D2530E" w:rsidRDefault="00061C1E" w:rsidP="005F25F6">
      <w:pPr>
        <w:pStyle w:val="ListParagraph"/>
        <w:numPr>
          <w:ilvl w:val="0"/>
          <w:numId w:val="5"/>
        </w:numPr>
        <w:jc w:val="both"/>
        <w:rPr>
          <w:rFonts w:ascii="Book Antiqua" w:hAnsi="Book Antiqua" w:cs="Book Antiqua"/>
        </w:rPr>
      </w:pPr>
      <w:r>
        <w:rPr>
          <w:rFonts w:ascii="Book Antiqua" w:hAnsi="Book Antiqua" w:cs="Book Antiqua"/>
        </w:rPr>
        <w:t xml:space="preserve">A </w:t>
      </w:r>
      <w:r w:rsidRPr="00D2530E">
        <w:rPr>
          <w:rFonts w:ascii="Book Antiqua" w:hAnsi="Book Antiqua" w:cs="Book Antiqua"/>
        </w:rPr>
        <w:t>prudent layperson observer would conclude from the individual’s appearance or behavior a need for examination or treatment of a medical condition.</w:t>
      </w:r>
    </w:p>
    <w:p w:rsidR="00061C1E" w:rsidRPr="00D2530E" w:rsidRDefault="00061C1E" w:rsidP="00D112E5">
      <w:pPr>
        <w:jc w:val="both"/>
        <w:rPr>
          <w:rFonts w:ascii="Book Antiqua" w:hAnsi="Book Antiqua" w:cs="Book Antiqua"/>
        </w:rPr>
      </w:pPr>
      <w:r w:rsidRPr="00D2530E">
        <w:rPr>
          <w:rFonts w:ascii="Book Antiqua" w:hAnsi="Book Antiqua" w:cs="Book Antiqua"/>
          <w:b/>
          <w:bCs/>
          <w:i/>
          <w:iCs/>
        </w:rPr>
        <w:t>Emergency medical condition</w:t>
      </w:r>
      <w:r w:rsidRPr="00D2530E">
        <w:rPr>
          <w:rFonts w:ascii="Book Antiqua" w:hAnsi="Book Antiqua" w:cs="Book Antiqua"/>
        </w:rPr>
        <w:t xml:space="preserve"> is defined </w:t>
      </w:r>
      <w:r>
        <w:rPr>
          <w:rFonts w:ascii="Book Antiqua" w:hAnsi="Book Antiqua" w:cs="Book Antiqua"/>
        </w:rPr>
        <w:t xml:space="preserve">in the law </w:t>
      </w:r>
      <w:r w:rsidRPr="00D2530E">
        <w:rPr>
          <w:rFonts w:ascii="Book Antiqua" w:hAnsi="Book Antiqua" w:cs="Book Antiqua"/>
        </w:rPr>
        <w:t>as, “a condition manifesting itself by acute symptoms of sufficient severity (including severe pain) such that the absence of immediate medical attention could reasonably be expected to result in placing the individual’s health [or the health of an unborn child] in serious jeopardy, serious impairment to bodily functions, or serious</w:t>
      </w:r>
      <w:r>
        <w:rPr>
          <w:rFonts w:ascii="Book Antiqua" w:hAnsi="Book Antiqua" w:cs="Book Antiqua"/>
        </w:rPr>
        <w:t xml:space="preserve"> dysfunction of bodily organs or</w:t>
      </w:r>
      <w:r w:rsidRPr="00D2530E">
        <w:rPr>
          <w:rFonts w:ascii="Book Antiqua" w:hAnsi="Book Antiqua" w:cs="Book Antiqua"/>
        </w:rPr>
        <w:t xml:space="preserve"> with respect to a pregnant woman who is having contractions, that there is inadequate time to effect a safe transfer to another hospital before delivery or that transfer may pose a threat to the health or safety of the woman or unborn child.”</w:t>
      </w:r>
    </w:p>
    <w:p w:rsidR="00061C1E" w:rsidRPr="00D2530E" w:rsidRDefault="00061C1E" w:rsidP="00D112E5">
      <w:pPr>
        <w:jc w:val="both"/>
        <w:rPr>
          <w:rFonts w:ascii="Book Antiqua" w:hAnsi="Book Antiqua" w:cs="Book Antiqua"/>
        </w:rPr>
      </w:pPr>
      <w:r w:rsidRPr="00D2530E">
        <w:rPr>
          <w:rFonts w:ascii="Book Antiqua" w:hAnsi="Book Antiqua" w:cs="Book Antiqua"/>
          <w:b/>
          <w:bCs/>
          <w:i/>
          <w:iCs/>
        </w:rPr>
        <w:t>Hospital obligations</w:t>
      </w:r>
      <w:r w:rsidRPr="00D2530E">
        <w:rPr>
          <w:rFonts w:ascii="Book Antiqua" w:hAnsi="Book Antiqua" w:cs="Book Antiqua"/>
        </w:rPr>
        <w:t xml:space="preserve"> under EMTALA include:</w:t>
      </w:r>
    </w:p>
    <w:p w:rsidR="00061C1E" w:rsidRPr="00D2530E" w:rsidRDefault="00061C1E" w:rsidP="00D112E5">
      <w:pPr>
        <w:pStyle w:val="ListParagraph"/>
        <w:numPr>
          <w:ilvl w:val="0"/>
          <w:numId w:val="1"/>
        </w:numPr>
        <w:jc w:val="both"/>
        <w:rPr>
          <w:rFonts w:ascii="Book Antiqua" w:hAnsi="Book Antiqua" w:cs="Book Antiqua"/>
        </w:rPr>
      </w:pPr>
      <w:r w:rsidRPr="00D2530E">
        <w:rPr>
          <w:rFonts w:ascii="Book Antiqua" w:hAnsi="Book Antiqua" w:cs="Book Antiqua"/>
          <w:b/>
          <w:bCs/>
          <w:i/>
          <w:iCs/>
        </w:rPr>
        <w:t>Medical screening exam.</w:t>
      </w:r>
      <w:r w:rsidRPr="00D2530E">
        <w:rPr>
          <w:rFonts w:ascii="Book Antiqua" w:hAnsi="Book Antiqua" w:cs="Book Antiqua"/>
        </w:rPr>
        <w:t xml:space="preserve">  Any individual who comes and makes a request must receive a medical screening examination to determine whether an emergency medical condition exists or whether the woman is in active labor.  Examination and treatment may not be delayed to inquire about methods of payment or insurance coverage.  Emergency departments must post signs notifying patients and visitors of the right to a medical screening examination and treatment.</w:t>
      </w:r>
    </w:p>
    <w:p w:rsidR="00061C1E" w:rsidRPr="00D2530E" w:rsidRDefault="00061C1E" w:rsidP="00D112E5">
      <w:pPr>
        <w:pStyle w:val="ListParagraph"/>
        <w:numPr>
          <w:ilvl w:val="0"/>
          <w:numId w:val="1"/>
        </w:numPr>
        <w:jc w:val="both"/>
        <w:rPr>
          <w:rFonts w:ascii="Book Antiqua" w:hAnsi="Book Antiqua" w:cs="Book Antiqua"/>
        </w:rPr>
      </w:pPr>
      <w:r w:rsidRPr="00D2530E">
        <w:rPr>
          <w:rFonts w:ascii="Book Antiqua" w:hAnsi="Book Antiqua" w:cs="Book Antiqua"/>
          <w:b/>
          <w:bCs/>
          <w:i/>
          <w:iCs/>
        </w:rPr>
        <w:t>Stabilizing treatment.</w:t>
      </w:r>
      <w:r w:rsidRPr="00D2530E">
        <w:rPr>
          <w:rFonts w:ascii="Book Antiqua" w:hAnsi="Book Antiqua" w:cs="Book Antiqua"/>
        </w:rPr>
        <w:t xml:space="preserve">  If an emergency medical condition exists or the patient is in active labor, treatment must be provided until the emergency medical condition is resolved or stabilized. </w:t>
      </w:r>
    </w:p>
    <w:p w:rsidR="00061C1E" w:rsidRPr="00D2530E" w:rsidRDefault="00061C1E" w:rsidP="00D112E5">
      <w:pPr>
        <w:pStyle w:val="ListParagraph"/>
        <w:numPr>
          <w:ilvl w:val="0"/>
          <w:numId w:val="1"/>
        </w:numPr>
        <w:jc w:val="both"/>
        <w:rPr>
          <w:rFonts w:ascii="Book Antiqua" w:hAnsi="Book Antiqua" w:cs="Book Antiqua"/>
        </w:rPr>
      </w:pPr>
      <w:r w:rsidRPr="00D2530E">
        <w:rPr>
          <w:rFonts w:ascii="Book Antiqua" w:hAnsi="Book Antiqua" w:cs="Book Antiqua"/>
          <w:b/>
          <w:bCs/>
          <w:i/>
          <w:iCs/>
        </w:rPr>
        <w:t>Transfer requirements.</w:t>
      </w:r>
      <w:r w:rsidRPr="00D2530E">
        <w:rPr>
          <w:rFonts w:ascii="Book Antiqua" w:hAnsi="Book Antiqua" w:cs="Book Antiqua"/>
        </w:rPr>
        <w:t xml:space="preserve">  If the hospital does not have the capability to treat the condition, an “appropriate” transfer of the patient to another hospital must happen consistent with EMTALA regulations.  A hospital with specialized capabilities is obligated to accept </w:t>
      </w:r>
      <w:r w:rsidRPr="00D2530E">
        <w:rPr>
          <w:rFonts w:ascii="Book Antiqua" w:hAnsi="Book Antiqua" w:cs="Book Antiqua"/>
        </w:rPr>
        <w:lastRenderedPageBreak/>
        <w:t xml:space="preserve">transfers from hospitals who lack the capability to treat unstable emergency medical conditions.  A hospital must report to </w:t>
      </w:r>
      <w:smartTag w:uri="urn:schemas-microsoft-com:office:smarttags" w:element="stockticker">
        <w:r w:rsidRPr="00D2530E">
          <w:rPr>
            <w:rFonts w:ascii="Book Antiqua" w:hAnsi="Book Antiqua" w:cs="Book Antiqua"/>
          </w:rPr>
          <w:t>CMS</w:t>
        </w:r>
      </w:smartTag>
      <w:r w:rsidRPr="00D2530E">
        <w:rPr>
          <w:rFonts w:ascii="Book Antiqua" w:hAnsi="Book Antiqua" w:cs="Book Antiqua"/>
        </w:rPr>
        <w:t xml:space="preserve"> if it believes it may have received a patient who has been transferred in an unstable emergency medical condition from another hospital in violation of EMTALA.</w:t>
      </w:r>
    </w:p>
    <w:p w:rsidR="00061C1E" w:rsidRPr="00D2530E" w:rsidRDefault="00061C1E" w:rsidP="00D112E5">
      <w:pPr>
        <w:jc w:val="both"/>
        <w:rPr>
          <w:rFonts w:ascii="Book Antiqua" w:hAnsi="Book Antiqua" w:cs="Book Antiqua"/>
        </w:rPr>
      </w:pPr>
      <w:r w:rsidRPr="00D2530E">
        <w:rPr>
          <w:rFonts w:ascii="Book Antiqua" w:hAnsi="Book Antiqua" w:cs="Book Antiqua"/>
          <w:b/>
          <w:bCs/>
          <w:i/>
          <w:iCs/>
        </w:rPr>
        <w:t xml:space="preserve">Transfers </w:t>
      </w:r>
      <w:r w:rsidRPr="00D2530E">
        <w:rPr>
          <w:rFonts w:ascii="Book Antiqua" w:hAnsi="Book Antiqua" w:cs="Book Antiqua"/>
        </w:rPr>
        <w:t>under EMTALA may be made only if a patient is stable or if certain requirements are met.  A patient is considered stable for transfer if the treating physician determines no material deterioration will occur during the transfer between facilities.  If a patient is unstable</w:t>
      </w:r>
      <w:r>
        <w:rPr>
          <w:rFonts w:ascii="Book Antiqua" w:hAnsi="Book Antiqua" w:cs="Book Antiqua"/>
        </w:rPr>
        <w:t>,</w:t>
      </w:r>
      <w:r w:rsidRPr="00D2530E">
        <w:rPr>
          <w:rFonts w:ascii="Book Antiqua" w:hAnsi="Book Antiqua" w:cs="Book Antiqua"/>
        </w:rPr>
        <w:t xml:space="preserve"> the patient may only be transferred if:</w:t>
      </w:r>
    </w:p>
    <w:p w:rsidR="00061C1E" w:rsidRPr="00D2530E" w:rsidRDefault="00061C1E" w:rsidP="00D112E5">
      <w:pPr>
        <w:pStyle w:val="ListParagraph"/>
        <w:numPr>
          <w:ilvl w:val="0"/>
          <w:numId w:val="2"/>
        </w:numPr>
        <w:jc w:val="both"/>
        <w:rPr>
          <w:rFonts w:ascii="Book Antiqua" w:hAnsi="Book Antiqua" w:cs="Book Antiqua"/>
        </w:rPr>
      </w:pPr>
      <w:r w:rsidRPr="00D2530E">
        <w:rPr>
          <w:rFonts w:ascii="Book Antiqua" w:hAnsi="Book Antiqua" w:cs="Book Antiqua"/>
        </w:rPr>
        <w:t>A physician certifies the medical benefits expected from the transfer outweigh the risk</w:t>
      </w:r>
      <w:r>
        <w:rPr>
          <w:rFonts w:ascii="Book Antiqua" w:hAnsi="Book Antiqua" w:cs="Book Antiqua"/>
        </w:rPr>
        <w:t>s, or</w:t>
      </w:r>
    </w:p>
    <w:p w:rsidR="00061C1E" w:rsidRPr="00D2530E" w:rsidRDefault="00061C1E" w:rsidP="00D112E5">
      <w:pPr>
        <w:pStyle w:val="ListParagraph"/>
        <w:numPr>
          <w:ilvl w:val="0"/>
          <w:numId w:val="2"/>
        </w:numPr>
        <w:jc w:val="both"/>
        <w:rPr>
          <w:rFonts w:ascii="Book Antiqua" w:hAnsi="Book Antiqua" w:cs="Book Antiqua"/>
        </w:rPr>
      </w:pPr>
      <w:r w:rsidRPr="00D2530E">
        <w:rPr>
          <w:rFonts w:ascii="Book Antiqua" w:hAnsi="Book Antiqua" w:cs="Book Antiqua"/>
        </w:rPr>
        <w:t>A patient makes a transfer request in writing after being informed of the hospital’s obligations under EMTALA and the risks of the transfer.</w:t>
      </w:r>
    </w:p>
    <w:p w:rsidR="00061C1E" w:rsidRPr="00D2530E" w:rsidRDefault="00061C1E" w:rsidP="00D112E5">
      <w:pPr>
        <w:jc w:val="both"/>
        <w:rPr>
          <w:rFonts w:ascii="Book Antiqua" w:hAnsi="Book Antiqua" w:cs="Book Antiqua"/>
        </w:rPr>
      </w:pPr>
      <w:r w:rsidRPr="00D2530E">
        <w:rPr>
          <w:rFonts w:ascii="Book Antiqua" w:hAnsi="Book Antiqua" w:cs="Book Antiqua"/>
        </w:rPr>
        <w:t>Transfers of unstable patients must also be “appropriate</w:t>
      </w:r>
      <w:r>
        <w:rPr>
          <w:rFonts w:ascii="Book Antiqua" w:hAnsi="Book Antiqua" w:cs="Book Antiqua"/>
        </w:rPr>
        <w:t>,</w:t>
      </w:r>
      <w:r w:rsidRPr="00D2530E">
        <w:rPr>
          <w:rFonts w:ascii="Book Antiqua" w:hAnsi="Book Antiqua" w:cs="Book Antiqua"/>
        </w:rPr>
        <w:t>” meaning that the transferring hospital must:</w:t>
      </w:r>
    </w:p>
    <w:p w:rsidR="00061C1E" w:rsidRPr="00D2530E" w:rsidRDefault="00061C1E" w:rsidP="00D112E5">
      <w:pPr>
        <w:pStyle w:val="ListParagraph"/>
        <w:numPr>
          <w:ilvl w:val="0"/>
          <w:numId w:val="3"/>
        </w:numPr>
        <w:jc w:val="both"/>
        <w:rPr>
          <w:rFonts w:ascii="Book Antiqua" w:hAnsi="Book Antiqua" w:cs="Book Antiqua"/>
        </w:rPr>
      </w:pPr>
      <w:r w:rsidRPr="00D2530E">
        <w:rPr>
          <w:rFonts w:ascii="Book Antiqua" w:hAnsi="Book Antiqua" w:cs="Book Antiqua"/>
        </w:rPr>
        <w:t>Provide ongoing care within its capability until transfer in order to mi</w:t>
      </w:r>
      <w:r>
        <w:rPr>
          <w:rFonts w:ascii="Book Antiqua" w:hAnsi="Book Antiqua" w:cs="Book Antiqua"/>
        </w:rPr>
        <w:t>nimize transfer risks;</w:t>
      </w:r>
    </w:p>
    <w:p w:rsidR="00061C1E" w:rsidRPr="00D2530E" w:rsidRDefault="00061C1E" w:rsidP="00D112E5">
      <w:pPr>
        <w:pStyle w:val="ListParagraph"/>
        <w:numPr>
          <w:ilvl w:val="0"/>
          <w:numId w:val="3"/>
        </w:numPr>
        <w:jc w:val="both"/>
        <w:rPr>
          <w:rFonts w:ascii="Book Antiqua" w:hAnsi="Book Antiqua" w:cs="Book Antiqua"/>
        </w:rPr>
      </w:pPr>
      <w:r w:rsidRPr="00D2530E">
        <w:rPr>
          <w:rFonts w:ascii="Book Antiqua" w:hAnsi="Book Antiqua" w:cs="Book Antiqua"/>
        </w:rPr>
        <w:t>Pr</w:t>
      </w:r>
      <w:r>
        <w:rPr>
          <w:rFonts w:ascii="Book Antiqua" w:hAnsi="Book Antiqua" w:cs="Book Antiqua"/>
        </w:rPr>
        <w:t>ovide copies of medical records;</w:t>
      </w:r>
    </w:p>
    <w:p w:rsidR="00061C1E" w:rsidRPr="00D2530E" w:rsidRDefault="00061C1E" w:rsidP="00D112E5">
      <w:pPr>
        <w:pStyle w:val="ListParagraph"/>
        <w:numPr>
          <w:ilvl w:val="0"/>
          <w:numId w:val="3"/>
        </w:numPr>
        <w:jc w:val="both"/>
        <w:rPr>
          <w:rFonts w:ascii="Book Antiqua" w:hAnsi="Book Antiqua" w:cs="Book Antiqua"/>
        </w:rPr>
      </w:pPr>
      <w:r w:rsidRPr="00D2530E">
        <w:rPr>
          <w:rFonts w:ascii="Book Antiqua" w:hAnsi="Book Antiqua" w:cs="Book Antiqua"/>
        </w:rPr>
        <w:t>Confirm the receiving facility has space and qualified personnel to treat the condition and ha</w:t>
      </w:r>
      <w:r>
        <w:rPr>
          <w:rFonts w:ascii="Book Antiqua" w:hAnsi="Book Antiqua" w:cs="Book Antiqua"/>
        </w:rPr>
        <w:t>s agreed to accept the transfer;</w:t>
      </w:r>
      <w:r w:rsidRPr="00D2530E">
        <w:rPr>
          <w:rFonts w:ascii="Book Antiqua" w:hAnsi="Book Antiqua" w:cs="Book Antiqua"/>
        </w:rPr>
        <w:t xml:space="preserve"> and </w:t>
      </w:r>
    </w:p>
    <w:p w:rsidR="00061C1E" w:rsidRPr="00D2530E" w:rsidRDefault="00061C1E" w:rsidP="00D112E5">
      <w:pPr>
        <w:pStyle w:val="ListParagraph"/>
        <w:numPr>
          <w:ilvl w:val="0"/>
          <w:numId w:val="3"/>
        </w:numPr>
        <w:jc w:val="both"/>
        <w:rPr>
          <w:rFonts w:ascii="Book Antiqua" w:hAnsi="Book Antiqua" w:cs="Book Antiqua"/>
        </w:rPr>
      </w:pPr>
      <w:r w:rsidRPr="00D2530E">
        <w:rPr>
          <w:rFonts w:ascii="Book Antiqua" w:hAnsi="Book Antiqua" w:cs="Book Antiqua"/>
        </w:rPr>
        <w:t>Ensure the transfer is made with qualified personnel and appropriate medical equipment.</w:t>
      </w:r>
    </w:p>
    <w:p w:rsidR="00061C1E" w:rsidRPr="00D2530E" w:rsidRDefault="00061C1E" w:rsidP="00D112E5">
      <w:pPr>
        <w:jc w:val="both"/>
        <w:rPr>
          <w:rFonts w:ascii="Book Antiqua" w:hAnsi="Book Antiqua" w:cs="Book Antiqua"/>
        </w:rPr>
      </w:pPr>
      <w:r w:rsidRPr="00D2530E">
        <w:rPr>
          <w:rFonts w:ascii="Book Antiqua" w:hAnsi="Book Antiqua" w:cs="Book Antiqua"/>
          <w:b/>
          <w:bCs/>
          <w:i/>
          <w:iCs/>
        </w:rPr>
        <w:t>Penalties</w:t>
      </w:r>
      <w:r w:rsidRPr="00D2530E">
        <w:rPr>
          <w:rFonts w:ascii="Book Antiqua" w:hAnsi="Book Antiqua" w:cs="Book Antiqua"/>
        </w:rPr>
        <w:t xml:space="preserve"> for violating EMTALA include:</w:t>
      </w:r>
    </w:p>
    <w:p w:rsidR="00061C1E" w:rsidRPr="00D2530E" w:rsidRDefault="00061C1E" w:rsidP="00D112E5">
      <w:pPr>
        <w:pStyle w:val="ListParagraph"/>
        <w:numPr>
          <w:ilvl w:val="0"/>
          <w:numId w:val="4"/>
        </w:numPr>
        <w:jc w:val="both"/>
        <w:rPr>
          <w:rFonts w:ascii="Book Antiqua" w:hAnsi="Book Antiqua" w:cs="Book Antiqua"/>
        </w:rPr>
      </w:pPr>
      <w:r w:rsidRPr="00D2530E">
        <w:rPr>
          <w:rFonts w:ascii="Book Antiqua" w:hAnsi="Book Antiqua" w:cs="Book Antiqua"/>
        </w:rPr>
        <w:t>Termination of the hospital Medicare provider agreement.</w:t>
      </w:r>
    </w:p>
    <w:p w:rsidR="00061C1E" w:rsidRPr="00D2530E" w:rsidRDefault="00061C1E" w:rsidP="00D112E5">
      <w:pPr>
        <w:pStyle w:val="ListParagraph"/>
        <w:numPr>
          <w:ilvl w:val="0"/>
          <w:numId w:val="4"/>
        </w:numPr>
        <w:jc w:val="both"/>
        <w:rPr>
          <w:rFonts w:ascii="Book Antiqua" w:hAnsi="Book Antiqua" w:cs="Book Antiqua"/>
        </w:rPr>
      </w:pPr>
      <w:r w:rsidRPr="00D2530E">
        <w:rPr>
          <w:rFonts w:ascii="Book Antiqua" w:hAnsi="Book Antiqua" w:cs="Book Antiqua"/>
        </w:rPr>
        <w:t>Exclusion of a physician from the Medicare and Medicaid programs.</w:t>
      </w:r>
    </w:p>
    <w:p w:rsidR="00061C1E" w:rsidRPr="00D2530E" w:rsidRDefault="00061C1E" w:rsidP="00D112E5">
      <w:pPr>
        <w:pStyle w:val="ListParagraph"/>
        <w:numPr>
          <w:ilvl w:val="0"/>
          <w:numId w:val="4"/>
        </w:numPr>
        <w:jc w:val="both"/>
        <w:rPr>
          <w:rFonts w:ascii="Book Antiqua" w:hAnsi="Book Antiqua" w:cs="Book Antiqua"/>
        </w:rPr>
      </w:pPr>
      <w:r w:rsidRPr="00D2530E">
        <w:rPr>
          <w:rFonts w:ascii="Book Antiqua" w:hAnsi="Book Antiqua" w:cs="Book Antiqua"/>
        </w:rPr>
        <w:t>Hospital fines up to $50,000 per violation ($25,000 if the hospital has 25 or fewer beds).</w:t>
      </w:r>
    </w:p>
    <w:p w:rsidR="00061C1E" w:rsidRPr="00D2530E" w:rsidRDefault="00061C1E" w:rsidP="00D112E5">
      <w:pPr>
        <w:pStyle w:val="ListParagraph"/>
        <w:numPr>
          <w:ilvl w:val="0"/>
          <w:numId w:val="4"/>
        </w:numPr>
        <w:jc w:val="both"/>
        <w:rPr>
          <w:rFonts w:ascii="Book Antiqua" w:hAnsi="Book Antiqua" w:cs="Book Antiqua"/>
        </w:rPr>
      </w:pPr>
      <w:r w:rsidRPr="00D2530E">
        <w:rPr>
          <w:rFonts w:ascii="Book Antiqua" w:hAnsi="Book Antiqua" w:cs="Book Antiqua"/>
        </w:rPr>
        <w:t>Physician fines of $50,</w:t>
      </w:r>
      <w:r>
        <w:rPr>
          <w:rFonts w:ascii="Book Antiqua" w:hAnsi="Book Antiqua" w:cs="Book Antiqua"/>
        </w:rPr>
        <w:t>000 per violation, including on-</w:t>
      </w:r>
      <w:r w:rsidRPr="00D2530E">
        <w:rPr>
          <w:rFonts w:ascii="Book Antiqua" w:hAnsi="Book Antiqua" w:cs="Book Antiqua"/>
        </w:rPr>
        <w:t>call physicians.</w:t>
      </w:r>
    </w:p>
    <w:p w:rsidR="00061C1E" w:rsidRPr="00D2530E" w:rsidRDefault="00061C1E" w:rsidP="00D112E5">
      <w:pPr>
        <w:pStyle w:val="ListParagraph"/>
        <w:numPr>
          <w:ilvl w:val="0"/>
          <w:numId w:val="4"/>
        </w:numPr>
        <w:jc w:val="both"/>
        <w:rPr>
          <w:rFonts w:ascii="Book Antiqua" w:hAnsi="Book Antiqua" w:cs="Book Antiqua"/>
        </w:rPr>
      </w:pPr>
      <w:r w:rsidRPr="00D2530E">
        <w:rPr>
          <w:rFonts w:ascii="Book Antiqua" w:hAnsi="Book Antiqua" w:cs="Book Antiqua"/>
        </w:rPr>
        <w:t>A patient who suffers personal injury from violation of EMTALA may sue the hospital in civil court.</w:t>
      </w:r>
    </w:p>
    <w:p w:rsidR="00061C1E" w:rsidRPr="00946D91" w:rsidRDefault="00061C1E" w:rsidP="004117C6">
      <w:pPr>
        <w:pStyle w:val="ListParagraph"/>
        <w:numPr>
          <w:ilvl w:val="0"/>
          <w:numId w:val="4"/>
        </w:numPr>
        <w:jc w:val="both"/>
        <w:rPr>
          <w:rFonts w:ascii="Book Antiqua" w:hAnsi="Book Antiqua" w:cs="Book Antiqua"/>
        </w:rPr>
      </w:pPr>
      <w:r w:rsidRPr="00D2530E">
        <w:rPr>
          <w:rFonts w:ascii="Book Antiqua" w:hAnsi="Book Antiqua" w:cs="Book Antiqua"/>
        </w:rPr>
        <w:t xml:space="preserve">A receiving facility that suffers financial loss as a result of another hospital’s violation of </w:t>
      </w:r>
      <w:r w:rsidRPr="00946D91">
        <w:rPr>
          <w:rFonts w:ascii="Book Antiqua" w:hAnsi="Book Antiqua" w:cs="Book Antiqua"/>
        </w:rPr>
        <w:t>EMTALA can sue to recover damages.</w:t>
      </w:r>
    </w:p>
    <w:p w:rsidR="00061C1E" w:rsidRPr="00946D91" w:rsidRDefault="00061C1E" w:rsidP="009054A4">
      <w:pPr>
        <w:spacing w:after="0"/>
        <w:rPr>
          <w:rFonts w:ascii="Book Antiqua" w:hAnsi="Book Antiqua" w:cs="Book Antiqua"/>
          <w:sz w:val="20"/>
          <w:szCs w:val="20"/>
        </w:rPr>
      </w:pPr>
    </w:p>
    <w:p w:rsidR="00061C1E" w:rsidRPr="00946D91" w:rsidRDefault="00061C1E" w:rsidP="009054A4">
      <w:pPr>
        <w:spacing w:after="0"/>
        <w:rPr>
          <w:rFonts w:ascii="Book Antiqua" w:hAnsi="Book Antiqua" w:cs="Book Antiqua"/>
          <w:b/>
          <w:bCs/>
          <w:sz w:val="20"/>
          <w:szCs w:val="20"/>
          <w:u w:val="single"/>
        </w:rPr>
      </w:pPr>
      <w:r w:rsidRPr="00946D91">
        <w:rPr>
          <w:rFonts w:ascii="Book Antiqua" w:hAnsi="Book Antiqua" w:cs="Book Antiqua"/>
          <w:b/>
          <w:bCs/>
          <w:sz w:val="20"/>
          <w:szCs w:val="20"/>
          <w:u w:val="single"/>
        </w:rPr>
        <w:t>Sources:</w:t>
      </w:r>
    </w:p>
    <w:p w:rsidR="00061C1E" w:rsidRPr="00946D91" w:rsidRDefault="00061C1E" w:rsidP="00C40701">
      <w:pPr>
        <w:tabs>
          <w:tab w:val="left" w:pos="440"/>
        </w:tabs>
        <w:spacing w:after="0"/>
        <w:rPr>
          <w:rFonts w:ascii="Book Antiqua" w:hAnsi="Book Antiqua" w:cs="Book Antiqua"/>
          <w:sz w:val="20"/>
          <w:szCs w:val="20"/>
        </w:rPr>
      </w:pPr>
      <w:smartTag w:uri="urn:schemas-microsoft-com:office:smarttags" w:element="place">
        <w:smartTag w:uri="urn:schemas-microsoft-com:office:smarttags" w:element="PlaceName">
          <w:r w:rsidRPr="00946D91">
            <w:rPr>
              <w:rFonts w:ascii="Book Antiqua" w:hAnsi="Book Antiqua" w:cs="Book Antiqua"/>
              <w:sz w:val="20"/>
              <w:szCs w:val="20"/>
            </w:rPr>
            <w:t>American</w:t>
          </w:r>
        </w:smartTag>
        <w:r w:rsidRPr="00946D91">
          <w:rPr>
            <w:rFonts w:ascii="Book Antiqua" w:hAnsi="Book Antiqua" w:cs="Book Antiqua"/>
            <w:sz w:val="20"/>
            <w:szCs w:val="20"/>
          </w:rPr>
          <w:t xml:space="preserve"> </w:t>
        </w:r>
        <w:smartTag w:uri="urn:schemas-microsoft-com:office:smarttags" w:element="PlaceType">
          <w:r w:rsidRPr="00946D91">
            <w:rPr>
              <w:rFonts w:ascii="Book Antiqua" w:hAnsi="Book Antiqua" w:cs="Book Antiqua"/>
              <w:sz w:val="20"/>
              <w:szCs w:val="20"/>
            </w:rPr>
            <w:t>College</w:t>
          </w:r>
        </w:smartTag>
      </w:smartTag>
      <w:r w:rsidRPr="00946D91">
        <w:rPr>
          <w:rFonts w:ascii="Book Antiqua" w:hAnsi="Book Antiqua" w:cs="Book Antiqua"/>
          <w:sz w:val="20"/>
          <w:szCs w:val="20"/>
        </w:rPr>
        <w:t xml:space="preserve"> of Emergency Physicians.  (2011).   </w:t>
      </w:r>
      <w:r w:rsidRPr="00946D91">
        <w:rPr>
          <w:rFonts w:ascii="Book Antiqua" w:hAnsi="Book Antiqua" w:cs="Book Antiqua"/>
          <w:i/>
          <w:iCs/>
          <w:sz w:val="20"/>
          <w:szCs w:val="20"/>
        </w:rPr>
        <w:t xml:space="preserve">EMTALA:  Main Points.  </w:t>
      </w:r>
      <w:r w:rsidRPr="00946D91">
        <w:rPr>
          <w:rFonts w:ascii="Book Antiqua" w:hAnsi="Book Antiqua" w:cs="Book Antiqua"/>
          <w:sz w:val="20"/>
          <w:szCs w:val="20"/>
        </w:rPr>
        <w:t xml:space="preserve">Retrieved </w:t>
      </w:r>
      <w:smartTag w:uri="urn:schemas-microsoft-com:office:smarttags" w:element="date">
        <w:smartTagPr>
          <w:attr w:name="Month" w:val="4"/>
          <w:attr w:name="Day" w:val="7"/>
          <w:attr w:name="Year" w:val="2011"/>
        </w:smartTagPr>
        <w:r w:rsidRPr="00946D91">
          <w:rPr>
            <w:rFonts w:ascii="Book Antiqua" w:hAnsi="Book Antiqua" w:cs="Book Antiqua"/>
            <w:sz w:val="20"/>
            <w:szCs w:val="20"/>
          </w:rPr>
          <w:t>April 7, 2011</w:t>
        </w:r>
      </w:smartTag>
      <w:r w:rsidRPr="00946D91">
        <w:rPr>
          <w:rFonts w:ascii="Book Antiqua" w:hAnsi="Book Antiqua" w:cs="Book Antiqua"/>
          <w:sz w:val="20"/>
          <w:szCs w:val="20"/>
        </w:rPr>
        <w:t xml:space="preserve">, from </w:t>
      </w:r>
    </w:p>
    <w:p w:rsidR="00061C1E" w:rsidRPr="00946D91" w:rsidRDefault="00061C1E" w:rsidP="00C40701">
      <w:pPr>
        <w:tabs>
          <w:tab w:val="left" w:pos="440"/>
        </w:tabs>
        <w:spacing w:after="0"/>
        <w:rPr>
          <w:rFonts w:ascii="Book Antiqua" w:hAnsi="Book Antiqua" w:cs="Book Antiqua"/>
          <w:sz w:val="20"/>
          <w:szCs w:val="20"/>
        </w:rPr>
      </w:pPr>
      <w:r w:rsidRPr="00946D91">
        <w:rPr>
          <w:rFonts w:ascii="Book Antiqua" w:hAnsi="Book Antiqua" w:cs="Book Antiqua"/>
          <w:sz w:val="20"/>
          <w:szCs w:val="20"/>
        </w:rPr>
        <w:tab/>
        <w:t xml:space="preserve">http://www.acep.org/Content.aspx?id=25936     </w:t>
      </w:r>
    </w:p>
    <w:p w:rsidR="00061C1E" w:rsidRPr="00946D91" w:rsidRDefault="00061C1E" w:rsidP="009054A4">
      <w:pPr>
        <w:spacing w:after="0"/>
        <w:rPr>
          <w:rFonts w:ascii="Book Antiqua" w:hAnsi="Book Antiqua" w:cs="Book Antiqua"/>
          <w:sz w:val="20"/>
          <w:szCs w:val="20"/>
        </w:rPr>
      </w:pPr>
      <w:r w:rsidRPr="00946D91">
        <w:rPr>
          <w:rFonts w:ascii="Book Antiqua" w:hAnsi="Book Antiqua" w:cs="Book Antiqua"/>
          <w:sz w:val="20"/>
          <w:szCs w:val="20"/>
        </w:rPr>
        <w:t>Consolidated Omnibus Budget Reconciliation Act (COBRA) 42 U.S.C. ss 1395dd (1985).</w:t>
      </w:r>
    </w:p>
    <w:p w:rsidR="00061C1E" w:rsidRPr="00946D91" w:rsidRDefault="00061C1E" w:rsidP="00D112E5">
      <w:pPr>
        <w:spacing w:after="0"/>
        <w:rPr>
          <w:rFonts w:ascii="Book Antiqua" w:hAnsi="Book Antiqua" w:cs="Book Antiqua"/>
          <w:sz w:val="20"/>
          <w:szCs w:val="20"/>
        </w:rPr>
      </w:pPr>
      <w:r w:rsidRPr="00946D91">
        <w:rPr>
          <w:rFonts w:ascii="Book Antiqua" w:hAnsi="Book Antiqua" w:cs="Book Antiqua"/>
          <w:sz w:val="20"/>
          <w:szCs w:val="20"/>
        </w:rPr>
        <w:t xml:space="preserve">Moy, Mark M.  (2010)  </w:t>
      </w:r>
      <w:r w:rsidRPr="00946D91">
        <w:rPr>
          <w:rFonts w:ascii="Book Antiqua" w:hAnsi="Book Antiqua" w:cs="Book Antiqua"/>
          <w:i/>
          <w:iCs/>
          <w:sz w:val="20"/>
          <w:szCs w:val="20"/>
        </w:rPr>
        <w:t>The EMTALA Answer Book:  2010 Edition.</w:t>
      </w:r>
      <w:r w:rsidRPr="00946D91">
        <w:rPr>
          <w:rFonts w:ascii="Book Antiqua" w:hAnsi="Book Antiqua" w:cs="Book Antiqua"/>
          <w:sz w:val="20"/>
          <w:szCs w:val="20"/>
        </w:rPr>
        <w:t xml:space="preserve">  </w:t>
      </w:r>
      <w:smartTag w:uri="urn:schemas-microsoft-com:office:smarttags" w:element="place">
        <w:smartTag w:uri="urn:schemas-microsoft-com:office:smarttags" w:element="State">
          <w:r w:rsidRPr="00946D91">
            <w:rPr>
              <w:rFonts w:ascii="Book Antiqua" w:hAnsi="Book Antiqua" w:cs="Book Antiqua"/>
              <w:sz w:val="20"/>
              <w:szCs w:val="20"/>
            </w:rPr>
            <w:t>Maryland</w:t>
          </w:r>
        </w:smartTag>
      </w:smartTag>
      <w:r w:rsidRPr="00946D91">
        <w:rPr>
          <w:rFonts w:ascii="Book Antiqua" w:hAnsi="Book Antiqua" w:cs="Book Antiqua"/>
          <w:sz w:val="20"/>
          <w:szCs w:val="20"/>
        </w:rPr>
        <w:t xml:space="preserve">:  </w:t>
      </w:r>
      <w:smartTag w:uri="urn:schemas-microsoft-com:office:smarttags" w:element="place">
        <w:r w:rsidRPr="00946D91">
          <w:rPr>
            <w:rFonts w:ascii="Book Antiqua" w:hAnsi="Book Antiqua" w:cs="Book Antiqua"/>
            <w:sz w:val="20"/>
            <w:szCs w:val="20"/>
          </w:rPr>
          <w:t>Aspen</w:t>
        </w:r>
      </w:smartTag>
      <w:r w:rsidRPr="00946D91">
        <w:rPr>
          <w:rFonts w:ascii="Book Antiqua" w:hAnsi="Book Antiqua" w:cs="Book Antiqua"/>
          <w:sz w:val="20"/>
          <w:szCs w:val="20"/>
        </w:rPr>
        <w:t xml:space="preserve"> Publishers.</w:t>
      </w:r>
      <w:r w:rsidRPr="00946D91">
        <w:rPr>
          <w:rFonts w:ascii="Book Antiqua" w:hAnsi="Book Antiqua" w:cs="Book Antiqua"/>
        </w:rPr>
        <w:t xml:space="preserve"> </w:t>
      </w:r>
    </w:p>
    <w:p w:rsidR="00061C1E" w:rsidRDefault="00061C1E" w:rsidP="00D112E5">
      <w:pPr>
        <w:spacing w:after="0"/>
        <w:rPr>
          <w:rFonts w:ascii="Book Antiqua" w:hAnsi="Book Antiqua" w:cs="Book Antiqua"/>
          <w:sz w:val="20"/>
          <w:szCs w:val="20"/>
        </w:rPr>
      </w:pPr>
    </w:p>
    <w:p w:rsidR="00061C1E" w:rsidRPr="00946D91" w:rsidRDefault="00061C1E" w:rsidP="00D112E5">
      <w:pPr>
        <w:spacing w:after="0"/>
        <w:rPr>
          <w:rFonts w:ascii="Book Antiqua" w:hAnsi="Book Antiqua" w:cs="Book Antiqua"/>
          <w:sz w:val="20"/>
          <w:szCs w:val="20"/>
        </w:rPr>
      </w:pPr>
    </w:p>
    <w:p w:rsidR="00061C1E" w:rsidRPr="0030144F" w:rsidRDefault="00061C1E" w:rsidP="004117C6">
      <w:pPr>
        <w:spacing w:after="0"/>
        <w:jc w:val="right"/>
        <w:rPr>
          <w:rFonts w:ascii="Book Antiqua" w:hAnsi="Book Antiqua" w:cs="Book Antiqua"/>
          <w:sz w:val="20"/>
          <w:szCs w:val="20"/>
        </w:rPr>
      </w:pPr>
      <w:r w:rsidRPr="0030144F">
        <w:rPr>
          <w:rFonts w:ascii="Book Antiqua" w:hAnsi="Book Antiqua" w:cs="Book Antiqua"/>
          <w:sz w:val="20"/>
          <w:szCs w:val="20"/>
        </w:rPr>
        <w:t>Taya Briley, RN, MN, JD</w:t>
      </w:r>
    </w:p>
    <w:p w:rsidR="00061C1E" w:rsidRPr="0030144F" w:rsidRDefault="00061C1E" w:rsidP="004117C6">
      <w:pPr>
        <w:spacing w:after="0"/>
        <w:jc w:val="right"/>
        <w:rPr>
          <w:rFonts w:ascii="Book Antiqua" w:hAnsi="Book Antiqua" w:cs="Book Antiqua"/>
          <w:sz w:val="20"/>
          <w:szCs w:val="20"/>
        </w:rPr>
      </w:pPr>
      <w:r w:rsidRPr="0030144F">
        <w:rPr>
          <w:rFonts w:ascii="Book Antiqua" w:hAnsi="Book Antiqua" w:cs="Book Antiqua"/>
          <w:sz w:val="20"/>
          <w:szCs w:val="20"/>
        </w:rPr>
        <w:t>General Legal Counsel</w:t>
      </w:r>
    </w:p>
    <w:p w:rsidR="00061C1E" w:rsidRPr="0030144F" w:rsidRDefault="00061C1E" w:rsidP="004117C6">
      <w:pPr>
        <w:spacing w:after="0"/>
        <w:jc w:val="right"/>
        <w:rPr>
          <w:rFonts w:ascii="Book Antiqua" w:hAnsi="Book Antiqua" w:cs="Book Antiqua"/>
          <w:sz w:val="20"/>
          <w:szCs w:val="20"/>
        </w:rPr>
      </w:pPr>
      <w:smartTag w:uri="urn:schemas-microsoft-com:office:smarttags" w:element="place">
        <w:smartTag w:uri="urn:schemas-microsoft-com:office:smarttags" w:element="PlaceName">
          <w:r w:rsidRPr="0030144F">
            <w:rPr>
              <w:rFonts w:ascii="Book Antiqua" w:hAnsi="Book Antiqua" w:cs="Book Antiqua"/>
              <w:sz w:val="20"/>
              <w:szCs w:val="20"/>
            </w:rPr>
            <w:t>Washington</w:t>
          </w:r>
        </w:smartTag>
        <w:r w:rsidRPr="0030144F">
          <w:rPr>
            <w:rFonts w:ascii="Book Antiqua" w:hAnsi="Book Antiqua" w:cs="Book Antiqua"/>
            <w:sz w:val="20"/>
            <w:szCs w:val="20"/>
          </w:rPr>
          <w:t xml:space="preserve"> </w:t>
        </w:r>
        <w:smartTag w:uri="urn:schemas-microsoft-com:office:smarttags" w:element="PlaceType">
          <w:r w:rsidRPr="0030144F">
            <w:rPr>
              <w:rFonts w:ascii="Book Antiqua" w:hAnsi="Book Antiqua" w:cs="Book Antiqua"/>
              <w:sz w:val="20"/>
              <w:szCs w:val="20"/>
            </w:rPr>
            <w:t>State</w:t>
          </w:r>
        </w:smartTag>
        <w:r w:rsidRPr="0030144F">
          <w:rPr>
            <w:rFonts w:ascii="Book Antiqua" w:hAnsi="Book Antiqua" w:cs="Book Antiqua"/>
            <w:sz w:val="20"/>
            <w:szCs w:val="20"/>
          </w:rPr>
          <w:t xml:space="preserve"> </w:t>
        </w:r>
        <w:smartTag w:uri="urn:schemas-microsoft-com:office:smarttags" w:element="PlaceType">
          <w:r w:rsidRPr="0030144F">
            <w:rPr>
              <w:rFonts w:ascii="Book Antiqua" w:hAnsi="Book Antiqua" w:cs="Book Antiqua"/>
              <w:sz w:val="20"/>
              <w:szCs w:val="20"/>
            </w:rPr>
            <w:t>Hospital</w:t>
          </w:r>
        </w:smartTag>
      </w:smartTag>
      <w:r w:rsidRPr="0030144F">
        <w:rPr>
          <w:rFonts w:ascii="Book Antiqua" w:hAnsi="Book Antiqua" w:cs="Book Antiqua"/>
          <w:sz w:val="20"/>
          <w:szCs w:val="20"/>
        </w:rPr>
        <w:t xml:space="preserve"> Association</w:t>
      </w:r>
    </w:p>
    <w:p w:rsidR="00061C1E" w:rsidRPr="0030144F" w:rsidRDefault="00061C1E" w:rsidP="004117C6">
      <w:pPr>
        <w:spacing w:after="0"/>
        <w:jc w:val="right"/>
        <w:rPr>
          <w:rFonts w:ascii="Book Antiqua" w:hAnsi="Book Antiqua" w:cs="Book Antiqua"/>
          <w:sz w:val="20"/>
          <w:szCs w:val="20"/>
        </w:rPr>
      </w:pPr>
      <w:smartTag w:uri="urn:schemas-microsoft-com:office:smarttags" w:element="date">
        <w:smartTagPr>
          <w:attr w:name="Month" w:val="4"/>
          <w:attr w:name="Day" w:val="12"/>
          <w:attr w:name="Year" w:val="2011"/>
        </w:smartTagPr>
        <w:r w:rsidRPr="0030144F">
          <w:rPr>
            <w:rFonts w:ascii="Book Antiqua" w:hAnsi="Book Antiqua" w:cs="Book Antiqua"/>
            <w:sz w:val="20"/>
            <w:szCs w:val="20"/>
          </w:rPr>
          <w:t>April 12, 2011</w:t>
        </w:r>
      </w:smartTag>
    </w:p>
    <w:sectPr w:rsidR="00061C1E" w:rsidRPr="0030144F" w:rsidSect="00E51167">
      <w:footerReference w:type="even" r:id="rId7"/>
      <w:footerReference w:type="default" r:id="rId8"/>
      <w:headerReference w:type="first" r:id="rId9"/>
      <w:pgSz w:w="12240" w:h="15840"/>
      <w:pgMar w:top="1152" w:right="1296"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1E" w:rsidRDefault="00061C1E" w:rsidP="008F42DE">
      <w:pPr>
        <w:spacing w:after="0" w:line="240" w:lineRule="auto"/>
      </w:pPr>
      <w:r>
        <w:separator/>
      </w:r>
    </w:p>
  </w:endnote>
  <w:endnote w:type="continuationSeparator" w:id="0">
    <w:p w:rsidR="00061C1E" w:rsidRDefault="00061C1E" w:rsidP="008F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E" w:rsidRDefault="000001EA" w:rsidP="00A628B4">
    <w:pPr>
      <w:pStyle w:val="Footer"/>
      <w:framePr w:wrap="around" w:vAnchor="text" w:hAnchor="margin" w:xAlign="center" w:y="1"/>
      <w:rPr>
        <w:rStyle w:val="PageNumber"/>
      </w:rPr>
    </w:pPr>
    <w:r>
      <w:rPr>
        <w:rStyle w:val="PageNumber"/>
      </w:rPr>
      <w:fldChar w:fldCharType="begin"/>
    </w:r>
    <w:r w:rsidR="00061C1E">
      <w:rPr>
        <w:rStyle w:val="PageNumber"/>
      </w:rPr>
      <w:instrText xml:space="preserve">PAGE  </w:instrText>
    </w:r>
    <w:r>
      <w:rPr>
        <w:rStyle w:val="PageNumber"/>
      </w:rPr>
      <w:fldChar w:fldCharType="separate"/>
    </w:r>
    <w:r w:rsidR="00061C1E">
      <w:rPr>
        <w:rStyle w:val="PageNumber"/>
        <w:noProof/>
      </w:rPr>
      <w:t>2</w:t>
    </w:r>
    <w:r>
      <w:rPr>
        <w:rStyle w:val="PageNumber"/>
      </w:rPr>
      <w:fldChar w:fldCharType="end"/>
    </w:r>
  </w:p>
  <w:p w:rsidR="00061C1E" w:rsidRDefault="00061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E" w:rsidRDefault="000001EA" w:rsidP="00A628B4">
    <w:pPr>
      <w:pStyle w:val="Footer"/>
      <w:framePr w:wrap="around" w:vAnchor="text" w:hAnchor="margin" w:xAlign="center" w:y="1"/>
      <w:rPr>
        <w:rStyle w:val="PageNumber"/>
      </w:rPr>
    </w:pPr>
    <w:r>
      <w:rPr>
        <w:rStyle w:val="PageNumber"/>
      </w:rPr>
      <w:fldChar w:fldCharType="begin"/>
    </w:r>
    <w:r w:rsidR="00061C1E">
      <w:rPr>
        <w:rStyle w:val="PageNumber"/>
      </w:rPr>
      <w:instrText xml:space="preserve">PAGE  </w:instrText>
    </w:r>
    <w:r>
      <w:rPr>
        <w:rStyle w:val="PageNumber"/>
      </w:rPr>
      <w:fldChar w:fldCharType="separate"/>
    </w:r>
    <w:r w:rsidR="002A3EEF">
      <w:rPr>
        <w:rStyle w:val="PageNumber"/>
        <w:noProof/>
      </w:rPr>
      <w:t>2</w:t>
    </w:r>
    <w:r>
      <w:rPr>
        <w:rStyle w:val="PageNumber"/>
      </w:rPr>
      <w:fldChar w:fldCharType="end"/>
    </w:r>
  </w:p>
  <w:p w:rsidR="00061C1E" w:rsidRDefault="00061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1E" w:rsidRDefault="00061C1E" w:rsidP="008F42DE">
      <w:pPr>
        <w:spacing w:after="0" w:line="240" w:lineRule="auto"/>
      </w:pPr>
      <w:r>
        <w:separator/>
      </w:r>
    </w:p>
  </w:footnote>
  <w:footnote w:type="continuationSeparator" w:id="0">
    <w:p w:rsidR="00061C1E" w:rsidRDefault="00061C1E" w:rsidP="008F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1E" w:rsidRDefault="002A3EEF" w:rsidP="00BE2647">
    <w:pPr>
      <w:pStyle w:val="Header"/>
      <w:jc w:val="center"/>
    </w:pPr>
    <w:r>
      <w:rPr>
        <w:rFonts w:ascii="Book Antiqua" w:hAnsi="Book Antiqua" w:cs="Book Antiqua"/>
        <w:b/>
        <w:bCs/>
        <w:noProof/>
      </w:rPr>
      <w:drawing>
        <wp:inline distT="0" distB="0" distL="0" distR="0">
          <wp:extent cx="19335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BFD"/>
    <w:multiLevelType w:val="hybridMultilevel"/>
    <w:tmpl w:val="424CB9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DFF79A5"/>
    <w:multiLevelType w:val="hybridMultilevel"/>
    <w:tmpl w:val="20443C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79C72C1"/>
    <w:multiLevelType w:val="hybridMultilevel"/>
    <w:tmpl w:val="3D4A8A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FC85688"/>
    <w:multiLevelType w:val="hybridMultilevel"/>
    <w:tmpl w:val="D53C00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81D5BC2"/>
    <w:multiLevelType w:val="hybridMultilevel"/>
    <w:tmpl w:val="CC9C2A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021C50"/>
    <w:rsid w:val="000001EA"/>
    <w:rsid w:val="000061CE"/>
    <w:rsid w:val="00011AD7"/>
    <w:rsid w:val="00021C50"/>
    <w:rsid w:val="00034460"/>
    <w:rsid w:val="00043155"/>
    <w:rsid w:val="00061C1E"/>
    <w:rsid w:val="00170335"/>
    <w:rsid w:val="0017797A"/>
    <w:rsid w:val="001E4487"/>
    <w:rsid w:val="001F58D9"/>
    <w:rsid w:val="0020358A"/>
    <w:rsid w:val="00204DA0"/>
    <w:rsid w:val="00291592"/>
    <w:rsid w:val="002A3EEF"/>
    <w:rsid w:val="002D3B17"/>
    <w:rsid w:val="002F2829"/>
    <w:rsid w:val="0030144F"/>
    <w:rsid w:val="003144F9"/>
    <w:rsid w:val="0033477A"/>
    <w:rsid w:val="003365FC"/>
    <w:rsid w:val="00340DB2"/>
    <w:rsid w:val="00355A4B"/>
    <w:rsid w:val="0035729D"/>
    <w:rsid w:val="003670A5"/>
    <w:rsid w:val="00394B81"/>
    <w:rsid w:val="004117C6"/>
    <w:rsid w:val="0041367E"/>
    <w:rsid w:val="00447FE9"/>
    <w:rsid w:val="0046122E"/>
    <w:rsid w:val="004E3BE3"/>
    <w:rsid w:val="004E695C"/>
    <w:rsid w:val="004F4171"/>
    <w:rsid w:val="00512ADE"/>
    <w:rsid w:val="005727F3"/>
    <w:rsid w:val="005B478B"/>
    <w:rsid w:val="005B61C7"/>
    <w:rsid w:val="005B77D1"/>
    <w:rsid w:val="005D3AED"/>
    <w:rsid w:val="005E327E"/>
    <w:rsid w:val="005F25F6"/>
    <w:rsid w:val="005F4B88"/>
    <w:rsid w:val="00616BCF"/>
    <w:rsid w:val="00685687"/>
    <w:rsid w:val="00693B8F"/>
    <w:rsid w:val="006B05BA"/>
    <w:rsid w:val="006D1F6F"/>
    <w:rsid w:val="006E004B"/>
    <w:rsid w:val="006E41AE"/>
    <w:rsid w:val="00712784"/>
    <w:rsid w:val="007265B5"/>
    <w:rsid w:val="00736CBE"/>
    <w:rsid w:val="0074485A"/>
    <w:rsid w:val="00746AF8"/>
    <w:rsid w:val="00753656"/>
    <w:rsid w:val="00784E0F"/>
    <w:rsid w:val="00791113"/>
    <w:rsid w:val="00795F08"/>
    <w:rsid w:val="007B1C65"/>
    <w:rsid w:val="008C1FAF"/>
    <w:rsid w:val="008E1FF3"/>
    <w:rsid w:val="008E6D05"/>
    <w:rsid w:val="008F088D"/>
    <w:rsid w:val="008F42DE"/>
    <w:rsid w:val="009054A4"/>
    <w:rsid w:val="00935D04"/>
    <w:rsid w:val="00946D91"/>
    <w:rsid w:val="00951C7A"/>
    <w:rsid w:val="009A53AD"/>
    <w:rsid w:val="00A360A3"/>
    <w:rsid w:val="00A53830"/>
    <w:rsid w:val="00A628B4"/>
    <w:rsid w:val="00A96FB5"/>
    <w:rsid w:val="00AE1492"/>
    <w:rsid w:val="00B24406"/>
    <w:rsid w:val="00B5592F"/>
    <w:rsid w:val="00B57776"/>
    <w:rsid w:val="00B714DE"/>
    <w:rsid w:val="00B86F91"/>
    <w:rsid w:val="00BD7A7E"/>
    <w:rsid w:val="00BE2647"/>
    <w:rsid w:val="00C40701"/>
    <w:rsid w:val="00C42A4F"/>
    <w:rsid w:val="00C558DE"/>
    <w:rsid w:val="00CD7FB4"/>
    <w:rsid w:val="00D112E5"/>
    <w:rsid w:val="00D2530E"/>
    <w:rsid w:val="00DA098E"/>
    <w:rsid w:val="00DF678D"/>
    <w:rsid w:val="00E32F4B"/>
    <w:rsid w:val="00E51167"/>
    <w:rsid w:val="00E619A6"/>
    <w:rsid w:val="00EA5476"/>
    <w:rsid w:val="00EA6C1D"/>
    <w:rsid w:val="00ED07F7"/>
    <w:rsid w:val="00F37181"/>
    <w:rsid w:val="00F57314"/>
    <w:rsid w:val="00F648D4"/>
    <w:rsid w:val="00F837A3"/>
    <w:rsid w:val="00FA1C71"/>
    <w:rsid w:val="00FF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4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113"/>
    <w:pPr>
      <w:ind w:left="720"/>
      <w:contextualSpacing/>
    </w:pPr>
  </w:style>
  <w:style w:type="character" w:styleId="Hyperlink">
    <w:name w:val="Hyperlink"/>
    <w:basedOn w:val="DefaultParagraphFont"/>
    <w:uiPriority w:val="99"/>
    <w:rsid w:val="005B478B"/>
    <w:rPr>
      <w:color w:val="0000FF"/>
      <w:u w:val="single"/>
    </w:rPr>
  </w:style>
  <w:style w:type="paragraph" w:styleId="BalloonText">
    <w:name w:val="Balloon Text"/>
    <w:basedOn w:val="Normal"/>
    <w:link w:val="BalloonTextChar"/>
    <w:uiPriority w:val="99"/>
    <w:semiHidden/>
    <w:rsid w:val="0044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E9"/>
    <w:rPr>
      <w:rFonts w:ascii="Tahoma" w:hAnsi="Tahoma" w:cs="Tahoma"/>
      <w:sz w:val="16"/>
      <w:szCs w:val="16"/>
    </w:rPr>
  </w:style>
  <w:style w:type="character" w:styleId="FollowedHyperlink">
    <w:name w:val="FollowedHyperlink"/>
    <w:basedOn w:val="DefaultParagraphFont"/>
    <w:uiPriority w:val="99"/>
    <w:rsid w:val="00BD7A7E"/>
    <w:rPr>
      <w:color w:val="800080"/>
      <w:u w:val="single"/>
    </w:rPr>
  </w:style>
  <w:style w:type="paragraph" w:styleId="Footer">
    <w:name w:val="footer"/>
    <w:basedOn w:val="Normal"/>
    <w:link w:val="FooterChar"/>
    <w:uiPriority w:val="99"/>
    <w:rsid w:val="00BE2647"/>
    <w:pPr>
      <w:tabs>
        <w:tab w:val="center" w:pos="4320"/>
        <w:tab w:val="right" w:pos="8640"/>
      </w:tabs>
    </w:pPr>
  </w:style>
  <w:style w:type="character" w:customStyle="1" w:styleId="FooterChar">
    <w:name w:val="Footer Char"/>
    <w:basedOn w:val="DefaultParagraphFont"/>
    <w:link w:val="Footer"/>
    <w:uiPriority w:val="99"/>
    <w:semiHidden/>
    <w:rsid w:val="00F648D4"/>
  </w:style>
  <w:style w:type="character" w:styleId="PageNumber">
    <w:name w:val="page number"/>
    <w:basedOn w:val="DefaultParagraphFont"/>
    <w:uiPriority w:val="99"/>
    <w:rsid w:val="00BE2647"/>
  </w:style>
  <w:style w:type="paragraph" w:styleId="Header">
    <w:name w:val="header"/>
    <w:basedOn w:val="Normal"/>
    <w:link w:val="HeaderChar"/>
    <w:uiPriority w:val="99"/>
    <w:rsid w:val="00BE2647"/>
    <w:pPr>
      <w:tabs>
        <w:tab w:val="center" w:pos="4320"/>
        <w:tab w:val="right" w:pos="8640"/>
      </w:tabs>
    </w:pPr>
  </w:style>
  <w:style w:type="character" w:customStyle="1" w:styleId="HeaderChar">
    <w:name w:val="Header Char"/>
    <w:basedOn w:val="DefaultParagraphFont"/>
    <w:link w:val="Header"/>
    <w:uiPriority w:val="99"/>
    <w:semiHidden/>
    <w:rsid w:val="00F64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Company>Hewlett-Packard Company</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Briley</dc:creator>
  <cp:lastModifiedBy>Staff</cp:lastModifiedBy>
  <cp:revision>2</cp:revision>
  <cp:lastPrinted>2011-04-13T21:40:00Z</cp:lastPrinted>
  <dcterms:created xsi:type="dcterms:W3CDTF">2011-09-20T22:25:00Z</dcterms:created>
  <dcterms:modified xsi:type="dcterms:W3CDTF">2011-09-20T22:25:00Z</dcterms:modified>
</cp:coreProperties>
</file>