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D7D8" w14:textId="171F2D69" w:rsidR="001A2DDF" w:rsidRDefault="00C1707E" w:rsidP="00D340F2">
      <w:pPr>
        <w:jc w:val="center"/>
        <w:outlineLvl w:val="0"/>
        <w:rPr>
          <w:b/>
        </w:rPr>
      </w:pPr>
      <w:r>
        <w:rPr>
          <w:b/>
        </w:rPr>
        <w:t xml:space="preserve">Sample </w:t>
      </w:r>
      <w:r w:rsidRPr="00290ECE">
        <w:rPr>
          <w:b/>
        </w:rPr>
        <w:t xml:space="preserve">Safety Committee or Workplace Violence </w:t>
      </w:r>
      <w:r>
        <w:rPr>
          <w:b/>
        </w:rPr>
        <w:t xml:space="preserve">Committee Charter </w:t>
      </w:r>
      <w:r w:rsidR="00590C64">
        <w:rPr>
          <w:b/>
        </w:rPr>
        <w:t xml:space="preserve">Revised </w:t>
      </w:r>
      <w:r w:rsidR="00536829">
        <w:rPr>
          <w:b/>
        </w:rPr>
        <w:t>October 18</w:t>
      </w:r>
      <w:r w:rsidR="001A2DDF">
        <w:rPr>
          <w:b/>
        </w:rPr>
        <w:t>, 201</w:t>
      </w:r>
      <w:r>
        <w:rPr>
          <w:b/>
        </w:rPr>
        <w:t>9</w:t>
      </w:r>
    </w:p>
    <w:p w14:paraId="12F37601" w14:textId="77777777" w:rsidR="005851B1" w:rsidRDefault="005851B1" w:rsidP="00487B09">
      <w:pPr>
        <w:rPr>
          <w:b/>
        </w:rPr>
      </w:pPr>
    </w:p>
    <w:p w14:paraId="2102B37F" w14:textId="77777777" w:rsidR="006F606F" w:rsidRDefault="006F606F" w:rsidP="00D340F2">
      <w:pPr>
        <w:outlineLvl w:val="0"/>
        <w:rPr>
          <w:b/>
        </w:rPr>
      </w:pPr>
      <w:r>
        <w:rPr>
          <w:b/>
        </w:rPr>
        <w:t>Introduction</w:t>
      </w:r>
    </w:p>
    <w:p w14:paraId="7FACCC46" w14:textId="77777777" w:rsidR="006F606F" w:rsidRDefault="006F606F" w:rsidP="00487B09">
      <w:pPr>
        <w:rPr>
          <w:b/>
        </w:rPr>
      </w:pPr>
    </w:p>
    <w:p w14:paraId="2325A207" w14:textId="2CBD9E12" w:rsidR="005851B1" w:rsidRDefault="009E1930" w:rsidP="00487B09">
      <w:r>
        <w:t xml:space="preserve">Addressing workplace violence is a priority for the Washington State Hospital </w:t>
      </w:r>
      <w:bookmarkStart w:id="0" w:name="_GoBack"/>
      <w:bookmarkEnd w:id="0"/>
      <w:r>
        <w:t xml:space="preserve">Association (WSHA), our member hospitals and regional partners. </w:t>
      </w:r>
      <w:r w:rsidR="005851B1">
        <w:t xml:space="preserve">This document was created in </w:t>
      </w:r>
      <w:r w:rsidR="00C1707E">
        <w:t>[insert]</w:t>
      </w:r>
      <w:r w:rsidR="005851B1">
        <w:t xml:space="preserve"> of 201</w:t>
      </w:r>
      <w:r w:rsidR="00C1707E">
        <w:t>9</w:t>
      </w:r>
      <w:r w:rsidR="005851B1">
        <w:t xml:space="preserve"> </w:t>
      </w:r>
      <w:r>
        <w:t xml:space="preserve">to support hospitals in addressing workplace violence and being successful under the state’s new workplace violence prevention law, </w:t>
      </w:r>
      <w:r w:rsidR="00114E9B">
        <w:t>House</w:t>
      </w:r>
      <w:r w:rsidR="005851B1">
        <w:t xml:space="preserve"> Bill</w:t>
      </w:r>
      <w:r w:rsidR="00114E9B">
        <w:t xml:space="preserve"> (H</w:t>
      </w:r>
      <w:r w:rsidR="001D540D">
        <w:t>B)</w:t>
      </w:r>
      <w:r w:rsidR="005851B1">
        <w:t xml:space="preserve"> 1</w:t>
      </w:r>
      <w:r w:rsidR="00C1707E">
        <w:t>931</w:t>
      </w:r>
      <w:r>
        <w:t>.</w:t>
      </w:r>
      <w:r w:rsidR="00C1707E">
        <w:t xml:space="preserve"> </w:t>
      </w:r>
    </w:p>
    <w:p w14:paraId="75C59F1C" w14:textId="77777777" w:rsidR="005851B1" w:rsidRDefault="005851B1" w:rsidP="00487B09"/>
    <w:p w14:paraId="3975FAB2" w14:textId="65A76414" w:rsidR="00A660DA" w:rsidRDefault="00C1707E" w:rsidP="00487B09">
      <w:r>
        <w:t>We</w:t>
      </w:r>
      <w:r w:rsidR="005851B1">
        <w:t xml:space="preserve"> recommend all hospitals have a</w:t>
      </w:r>
      <w:r>
        <w:t xml:space="preserve"> </w:t>
      </w:r>
      <w:r w:rsidRPr="00C1707E">
        <w:t xml:space="preserve">Safety Committee or Workplace Violence Committee Charter </w:t>
      </w:r>
      <w:r w:rsidR="005851B1">
        <w:t xml:space="preserve">to </w:t>
      </w:r>
      <w:r w:rsidR="00A03CD8">
        <w:t xml:space="preserve">describe the roles, responsibilities, and processes by which </w:t>
      </w:r>
      <w:r>
        <w:t>C</w:t>
      </w:r>
      <w:r w:rsidR="00590C64">
        <w:t xml:space="preserve">ommittees function and </w:t>
      </w:r>
      <w:r>
        <w:t>workplace violence prevention</w:t>
      </w:r>
      <w:r w:rsidR="00A03CD8">
        <w:t xml:space="preserve"> plans are developed</w:t>
      </w:r>
      <w:r w:rsidR="008E7C91">
        <w:t xml:space="preserve"> and used</w:t>
      </w:r>
      <w:r w:rsidR="00A03CD8">
        <w:t xml:space="preserve">.  </w:t>
      </w:r>
      <w:r w:rsidR="0025577C">
        <w:t xml:space="preserve">The following charter is based on </w:t>
      </w:r>
      <w:r w:rsidR="009267B7">
        <w:t>HB 1931 that was passed in the 2019 legislative session.</w:t>
      </w:r>
      <w:r w:rsidR="00A660DA">
        <w:t xml:space="preserve"> </w:t>
      </w:r>
      <w:r w:rsidR="009267B7">
        <w:t>R</w:t>
      </w:r>
      <w:r w:rsidR="00A660DA">
        <w:t xml:space="preserve">equirements </w:t>
      </w:r>
      <w:r w:rsidR="009267B7">
        <w:t xml:space="preserve">based on the new law are </w:t>
      </w:r>
      <w:r w:rsidR="00A660DA" w:rsidRPr="009267B7">
        <w:rPr>
          <w:highlight w:val="yellow"/>
        </w:rPr>
        <w:t xml:space="preserve">highlighted in </w:t>
      </w:r>
      <w:r w:rsidR="009267B7" w:rsidRPr="009267B7">
        <w:rPr>
          <w:highlight w:val="yellow"/>
        </w:rPr>
        <w:t>yellow</w:t>
      </w:r>
      <w:r w:rsidR="00A660DA">
        <w:t>.</w:t>
      </w:r>
    </w:p>
    <w:p w14:paraId="7E1F4C83" w14:textId="77777777" w:rsidR="00A660DA" w:rsidRDefault="00A660DA" w:rsidP="00487B09"/>
    <w:p w14:paraId="11C7333B" w14:textId="3BA34C56" w:rsidR="005851B1" w:rsidRDefault="00A660DA" w:rsidP="00487B09">
      <w:r w:rsidRPr="00A660DA">
        <w:t>Y</w:t>
      </w:r>
      <w:r w:rsidR="005851B1" w:rsidRPr="00A660DA">
        <w:t xml:space="preserve">ou can find the final bill, which shows the changes/additions from previous law, </w:t>
      </w:r>
      <w:hyperlink r:id="rId7" w:history="1">
        <w:r w:rsidR="005851B1" w:rsidRPr="00A660DA">
          <w:rPr>
            <w:rStyle w:val="Hyperlink"/>
          </w:rPr>
          <w:t>here</w:t>
        </w:r>
      </w:hyperlink>
      <w:r w:rsidR="005851B1" w:rsidRPr="00A660DA">
        <w:t>.</w:t>
      </w:r>
    </w:p>
    <w:p w14:paraId="02B46167" w14:textId="5D095DF2" w:rsidR="0051177D" w:rsidRDefault="0051177D" w:rsidP="00487B09"/>
    <w:p w14:paraId="4B65E93A" w14:textId="307C2187" w:rsidR="0051177D" w:rsidRDefault="0051177D" w:rsidP="00487B09">
      <w:r>
        <w:t xml:space="preserve">The bill modifies part of the existing Regulatory Code of Washington (RCW) 49.19. which can be found, </w:t>
      </w:r>
      <w:hyperlink r:id="rId8" w:history="1">
        <w:r w:rsidRPr="0051177D">
          <w:rPr>
            <w:rStyle w:val="Hyperlink"/>
          </w:rPr>
          <w:t>here</w:t>
        </w:r>
      </w:hyperlink>
      <w:r>
        <w:t xml:space="preserve">.  </w:t>
      </w:r>
    </w:p>
    <w:p w14:paraId="1617F483" w14:textId="300BF698" w:rsidR="005A0BE9" w:rsidRDefault="005A0BE9" w:rsidP="00487B09"/>
    <w:p w14:paraId="55FFF71D" w14:textId="01D34976" w:rsidR="005A0BE9" w:rsidRDefault="005A0BE9" w:rsidP="00487B09">
      <w:r>
        <w:t>We highly encourage hospitals to use the Oregon Association of Hospitals and Health Systems</w:t>
      </w:r>
      <w:r w:rsidR="007400DA">
        <w:t xml:space="preserve"> (OAHHS)</w:t>
      </w:r>
      <w:r>
        <w:t xml:space="preserve"> </w:t>
      </w:r>
      <w:hyperlink r:id="rId9" w:history="1">
        <w:r w:rsidRPr="005A0BE9">
          <w:rPr>
            <w:rStyle w:val="Hyperlink"/>
          </w:rPr>
          <w:t>‘Workplace Violence Prevention Toolkit’</w:t>
        </w:r>
      </w:hyperlink>
      <w:r>
        <w:t xml:space="preserve"> when developing or revamping a workplace violence prevention program. The toolkit has </w:t>
      </w:r>
      <w:proofErr w:type="gramStart"/>
      <w:r>
        <w:t>a number of</w:t>
      </w:r>
      <w:proofErr w:type="gramEnd"/>
      <w:r>
        <w:t xml:space="preserve"> resources that can assist hospitals in conducing a gap analysis, prioritizing interventions, implementing and sustaining a plan to address workplace violence. </w:t>
      </w:r>
      <w:r w:rsidR="006F760C">
        <w:t xml:space="preserve">When applicable, we have placed relevant resources from the OAHHS toolkit that can aid the Committee in advancing its work. </w:t>
      </w:r>
    </w:p>
    <w:p w14:paraId="220518CE" w14:textId="77777777" w:rsidR="004C5F5F" w:rsidRDefault="006F606F" w:rsidP="00D340F2">
      <w:pPr>
        <w:outlineLvl w:val="0"/>
      </w:pPr>
      <w:r>
        <w:rPr>
          <w:b/>
        </w:rPr>
        <w:br w:type="column"/>
      </w:r>
      <w:r>
        <w:rPr>
          <w:b/>
        </w:rPr>
        <w:lastRenderedPageBreak/>
        <w:t xml:space="preserve">Sample </w:t>
      </w:r>
      <w:r w:rsidR="00290ECE" w:rsidRPr="00290ECE">
        <w:rPr>
          <w:b/>
        </w:rPr>
        <w:t xml:space="preserve">Safety Committee or Workplace Violence </w:t>
      </w:r>
      <w:r>
        <w:rPr>
          <w:b/>
        </w:rPr>
        <w:t>Committee Charter</w:t>
      </w:r>
    </w:p>
    <w:p w14:paraId="38955D6B" w14:textId="77777777" w:rsidR="006F606F" w:rsidRPr="006F606F" w:rsidRDefault="00590C64" w:rsidP="00D340F2">
      <w:pPr>
        <w:outlineLvl w:val="0"/>
      </w:pPr>
      <w:r>
        <w:t xml:space="preserve">Revised </w:t>
      </w:r>
      <w:r w:rsidR="00290ECE">
        <w:t xml:space="preserve">August </w:t>
      </w:r>
      <w:r w:rsidR="00F535BE">
        <w:t>6</w:t>
      </w:r>
      <w:r w:rsidR="006F606F">
        <w:t>, 201</w:t>
      </w:r>
      <w:r w:rsidR="00290ECE">
        <w:t>9</w:t>
      </w:r>
    </w:p>
    <w:p w14:paraId="552DAFC1" w14:textId="77777777" w:rsidR="00B12AFD" w:rsidRPr="00B30144" w:rsidRDefault="00B12AFD" w:rsidP="00B12AFD">
      <w:pPr>
        <w:jc w:val="center"/>
      </w:pPr>
    </w:p>
    <w:tbl>
      <w:tblPr>
        <w:tblW w:w="1134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750"/>
        <w:gridCol w:w="2790"/>
      </w:tblGrid>
      <w:tr w:rsidR="000A6991" w:rsidRPr="00B30144" w14:paraId="6F52B11A" w14:textId="4CA401D8" w:rsidTr="000A6991">
        <w:tc>
          <w:tcPr>
            <w:tcW w:w="1800" w:type="dxa"/>
          </w:tcPr>
          <w:p w14:paraId="54BC6FCE" w14:textId="77777777" w:rsidR="000A6991" w:rsidRPr="00B30144" w:rsidRDefault="000A6991" w:rsidP="004052D1">
            <w:pPr>
              <w:rPr>
                <w:b/>
              </w:rPr>
            </w:pPr>
            <w:r w:rsidRPr="00B30144">
              <w:rPr>
                <w:b/>
              </w:rPr>
              <w:t>Committee Name</w:t>
            </w:r>
          </w:p>
        </w:tc>
        <w:tc>
          <w:tcPr>
            <w:tcW w:w="6750" w:type="dxa"/>
          </w:tcPr>
          <w:p w14:paraId="5C1A12DE" w14:textId="77777777" w:rsidR="000A6991" w:rsidRPr="00B30144" w:rsidRDefault="000A6991" w:rsidP="004052D1">
            <w:r w:rsidRPr="00B30144">
              <w:t xml:space="preserve">(insert name of facility) </w:t>
            </w:r>
            <w:bookmarkStart w:id="1" w:name="_Hlk15888668"/>
            <w:r>
              <w:t xml:space="preserve">Safety Committee or Workplace Violence </w:t>
            </w:r>
            <w:bookmarkEnd w:id="1"/>
            <w:r>
              <w:t xml:space="preserve">Committee (Committee) </w:t>
            </w:r>
          </w:p>
        </w:tc>
        <w:tc>
          <w:tcPr>
            <w:tcW w:w="2790" w:type="dxa"/>
          </w:tcPr>
          <w:p w14:paraId="4AE78D97" w14:textId="6CFB5584" w:rsidR="000A6991" w:rsidRPr="00B30144" w:rsidRDefault="005F7999" w:rsidP="004052D1">
            <w:r>
              <w:t>OAHHS Toolkit Resources</w:t>
            </w:r>
          </w:p>
        </w:tc>
      </w:tr>
      <w:tr w:rsidR="000A6991" w:rsidRPr="00B30144" w14:paraId="4B5168A0" w14:textId="302FB6B1" w:rsidTr="000A6991">
        <w:tc>
          <w:tcPr>
            <w:tcW w:w="1800" w:type="dxa"/>
          </w:tcPr>
          <w:p w14:paraId="52612635" w14:textId="77777777" w:rsidR="000A6991" w:rsidRPr="00B30144" w:rsidRDefault="000A6991" w:rsidP="004052D1">
            <w:pPr>
              <w:rPr>
                <w:b/>
              </w:rPr>
            </w:pPr>
            <w:r w:rsidRPr="00B30144">
              <w:rPr>
                <w:b/>
              </w:rPr>
              <w:t xml:space="preserve">Committee Membership </w:t>
            </w:r>
            <w:r>
              <w:rPr>
                <w:b/>
              </w:rPr>
              <w:t xml:space="preserve">and </w:t>
            </w:r>
            <w:r w:rsidRPr="00B30144">
              <w:rPr>
                <w:b/>
              </w:rPr>
              <w:t>Leadership</w:t>
            </w:r>
          </w:p>
        </w:tc>
        <w:tc>
          <w:tcPr>
            <w:tcW w:w="6750" w:type="dxa"/>
          </w:tcPr>
          <w:p w14:paraId="7403B184" w14:textId="77777777" w:rsidR="000A6991" w:rsidRPr="00B30144" w:rsidRDefault="000A6991" w:rsidP="00B12AFD">
            <w:r w:rsidRPr="00B30144">
              <w:t>Co-Chair (Staff Rep</w:t>
            </w:r>
            <w:r>
              <w:t>resentative – employee-elected</w:t>
            </w:r>
            <w:r w:rsidRPr="00B30144">
              <w:t>)</w:t>
            </w:r>
            <w:r>
              <w:t>: (insert name and title)</w:t>
            </w:r>
          </w:p>
          <w:p w14:paraId="4CBE153B" w14:textId="77777777" w:rsidR="000A6991" w:rsidRPr="00B30144" w:rsidRDefault="000A6991" w:rsidP="00B12AFD">
            <w:r w:rsidRPr="00B30144">
              <w:t>Co-Chair (Management Rep</w:t>
            </w:r>
            <w:r>
              <w:t>resentative – employer-selected</w:t>
            </w:r>
            <w:r w:rsidRPr="00B30144">
              <w:t>)</w:t>
            </w:r>
            <w:r>
              <w:t>: (insert name and title)</w:t>
            </w:r>
          </w:p>
          <w:p w14:paraId="33415113" w14:textId="77777777" w:rsidR="000A6991" w:rsidRDefault="000A6991" w:rsidP="00B12AFD"/>
          <w:p w14:paraId="0DE03909" w14:textId="77777777" w:rsidR="005F7999" w:rsidRDefault="000A6991" w:rsidP="00B12AFD">
            <w:r w:rsidRPr="00B30144">
              <w:t>Committee Membership</w:t>
            </w:r>
            <w:r>
              <w:t>:</w:t>
            </w:r>
            <w:r w:rsidRPr="00B30144">
              <w:t xml:space="preserve">    </w:t>
            </w:r>
            <w:r>
              <w:t xml:space="preserve">  </w:t>
            </w:r>
          </w:p>
          <w:p w14:paraId="6BD01B2B" w14:textId="05ABB246" w:rsidR="000A6991" w:rsidRDefault="000A6991" w:rsidP="005F7999">
            <w:pPr>
              <w:pStyle w:val="ListParagraph"/>
              <w:numPr>
                <w:ilvl w:val="0"/>
                <w:numId w:val="31"/>
              </w:numPr>
            </w:pPr>
            <w:r w:rsidRPr="00B30144">
              <w:t xml:space="preserve">(insert </w:t>
            </w:r>
            <w:r w:rsidR="005F7999">
              <w:t xml:space="preserve">name and professional </w:t>
            </w:r>
            <w:r w:rsidRPr="005F7999">
              <w:rPr>
                <w:highlight w:val="yellow"/>
              </w:rPr>
              <w:t>area</w:t>
            </w:r>
            <w:r>
              <w:t>/</w:t>
            </w:r>
            <w:r w:rsidRPr="00B30144">
              <w:t xml:space="preserve">unit)  </w:t>
            </w:r>
          </w:p>
          <w:p w14:paraId="186B3ED1" w14:textId="77777777" w:rsidR="000A6991" w:rsidRPr="00B30144" w:rsidRDefault="000A6991" w:rsidP="00B12AFD"/>
          <w:p w14:paraId="65558FBF" w14:textId="77777777" w:rsidR="000A6991" w:rsidRDefault="000A6991" w:rsidP="005401C9">
            <w:r w:rsidRPr="00B30144">
              <w:t xml:space="preserve">The Committee </w:t>
            </w:r>
            <w:r w:rsidRPr="001C3ED9">
              <w:rPr>
                <w:highlight w:val="yellow"/>
              </w:rPr>
              <w:t>will consist of employee-elected and employer-selected members: [insert number]. The number of employee-elected members will be equal to or exceed the number of employer-selected members.</w:t>
            </w:r>
            <w:r>
              <w:t xml:space="preserve"> </w:t>
            </w:r>
          </w:p>
          <w:p w14:paraId="1E787897" w14:textId="77777777" w:rsidR="000A6991" w:rsidRDefault="000A6991" w:rsidP="005401C9"/>
          <w:p w14:paraId="0EB70968" w14:textId="6FA20295" w:rsidR="000A6991" w:rsidRDefault="000A6991" w:rsidP="005401C9">
            <w:r>
              <w:t xml:space="preserve">*See Exhibit A for additional information on facilitating employee elections for employee-elected membership on the Committee. </w:t>
            </w:r>
          </w:p>
          <w:p w14:paraId="319D1F70" w14:textId="77777777" w:rsidR="009B08C4" w:rsidRDefault="009B08C4" w:rsidP="005401C9"/>
          <w:p w14:paraId="354A0FC1" w14:textId="269B8C23" w:rsidR="009B08C4" w:rsidRPr="00B30144" w:rsidRDefault="009B08C4" w:rsidP="005401C9">
            <w:bookmarkStart w:id="2" w:name="_Hlk15993085"/>
            <w:r>
              <w:t xml:space="preserve">** Employee-elected and employer-selected requirements </w:t>
            </w:r>
            <w:r w:rsidR="00934D19">
              <w:t xml:space="preserve">were part of existing law for safety committees under RCW 49.19. HB 1931 extends the requirements to the workplace violence committee if they are different or if there was a subcommittee on workplace violence. </w:t>
            </w:r>
          </w:p>
          <w:bookmarkEnd w:id="2"/>
          <w:p w14:paraId="1EF09860" w14:textId="77777777" w:rsidR="000A6991" w:rsidRPr="00B30144" w:rsidRDefault="000A6991" w:rsidP="005401C9"/>
          <w:p w14:paraId="0F125A31" w14:textId="77777777" w:rsidR="000A6991" w:rsidRDefault="000A6991" w:rsidP="00B12AFD">
            <w:r w:rsidRPr="00B30144">
              <w:t xml:space="preserve">The Committee will be co-chaired by one </w:t>
            </w:r>
            <w:r>
              <w:t>employee-elected and employer-selected members</w:t>
            </w:r>
            <w:r w:rsidRPr="00B30144">
              <w:t xml:space="preserve">. Co-chairs will be selected every </w:t>
            </w:r>
            <w:r>
              <w:t>[insert number] yea</w:t>
            </w:r>
            <w:r w:rsidRPr="00B30144">
              <w:t xml:space="preserve">rs by the Committee. </w:t>
            </w:r>
          </w:p>
          <w:p w14:paraId="4E1ACFEF" w14:textId="77777777" w:rsidR="000A6991" w:rsidRDefault="000A6991" w:rsidP="00B12AFD"/>
          <w:p w14:paraId="75A7DE42" w14:textId="262C7E46" w:rsidR="000A6991" w:rsidRPr="00B30144" w:rsidRDefault="000A6991" w:rsidP="008A426A">
            <w:r>
              <w:t>Other staff not on the committee may be invited to me</w:t>
            </w:r>
            <w:r w:rsidRPr="00B30144">
              <w:t xml:space="preserve">etings when their attendance is </w:t>
            </w:r>
            <w:proofErr w:type="gramStart"/>
            <w:r w:rsidRPr="00B30144">
              <w:t>required..</w:t>
            </w:r>
            <w:proofErr w:type="gramEnd"/>
            <w:r w:rsidRPr="00B30144">
              <w:t xml:space="preserve">  </w:t>
            </w:r>
          </w:p>
          <w:p w14:paraId="44069365" w14:textId="77777777" w:rsidR="000A6991" w:rsidRPr="00487B09" w:rsidRDefault="000A6991" w:rsidP="0043332E">
            <w:pPr>
              <w:rPr>
                <w:i/>
              </w:rPr>
            </w:pPr>
          </w:p>
        </w:tc>
        <w:tc>
          <w:tcPr>
            <w:tcW w:w="2790" w:type="dxa"/>
          </w:tcPr>
          <w:p w14:paraId="3180802A" w14:textId="77777777" w:rsidR="000A6991" w:rsidRPr="00B30144" w:rsidRDefault="000A6991" w:rsidP="00B12AFD"/>
        </w:tc>
      </w:tr>
      <w:tr w:rsidR="000A6991" w:rsidRPr="00B30144" w14:paraId="44F84E17" w14:textId="29C19943" w:rsidTr="000A6991">
        <w:tc>
          <w:tcPr>
            <w:tcW w:w="1800" w:type="dxa"/>
          </w:tcPr>
          <w:p w14:paraId="0D27A14A" w14:textId="77777777" w:rsidR="000A6991" w:rsidRPr="00B30144" w:rsidRDefault="000A6991" w:rsidP="004052D1">
            <w:pPr>
              <w:rPr>
                <w:b/>
              </w:rPr>
            </w:pPr>
            <w:r w:rsidRPr="00B30144">
              <w:rPr>
                <w:b/>
              </w:rPr>
              <w:t>Overall Purpose/ Strategic Objective</w:t>
            </w:r>
          </w:p>
        </w:tc>
        <w:tc>
          <w:tcPr>
            <w:tcW w:w="6750" w:type="dxa"/>
          </w:tcPr>
          <w:p w14:paraId="44633B38" w14:textId="4C992DF2" w:rsidR="000A6991" w:rsidRDefault="000A6991" w:rsidP="007535AD">
            <w:r w:rsidRPr="00B30144">
              <w:t>The purpose of this Committee is to:</w:t>
            </w:r>
            <w:r>
              <w:t xml:space="preserve"> </w:t>
            </w:r>
            <w:r w:rsidRPr="001C3ED9">
              <w:rPr>
                <w:highlight w:val="yellow"/>
              </w:rPr>
              <w:t>develop</w:t>
            </w:r>
            <w:r>
              <w:rPr>
                <w:highlight w:val="yellow"/>
              </w:rPr>
              <w:t xml:space="preserve">, </w:t>
            </w:r>
            <w:r w:rsidRPr="001C3ED9">
              <w:rPr>
                <w:highlight w:val="yellow"/>
              </w:rPr>
              <w:t xml:space="preserve">implement </w:t>
            </w:r>
            <w:r>
              <w:rPr>
                <w:highlight w:val="yellow"/>
              </w:rPr>
              <w:t xml:space="preserve">and monitor </w:t>
            </w:r>
            <w:r w:rsidRPr="001C3ED9">
              <w:rPr>
                <w:highlight w:val="yellow"/>
              </w:rPr>
              <w:t>a plan to prevent and protect employees</w:t>
            </w:r>
            <w:r w:rsidR="005B25AB">
              <w:t xml:space="preserve"> and </w:t>
            </w:r>
            <w:r>
              <w:t>patients</w:t>
            </w:r>
            <w:r w:rsidR="005B25AB">
              <w:t xml:space="preserve"> from violence.</w:t>
            </w:r>
            <w:r>
              <w:t xml:space="preserve"> </w:t>
            </w:r>
            <w:r w:rsidRPr="001C3ED9">
              <w:rPr>
                <w:highlight w:val="yellow"/>
              </w:rPr>
              <w:t>The plan must be developed every three y</w:t>
            </w:r>
            <w:r w:rsidRPr="00980D35">
              <w:rPr>
                <w:highlight w:val="yellow"/>
              </w:rPr>
              <w:t>ears and should be assessed at least annually by the Committee</w:t>
            </w:r>
            <w:r w:rsidR="005B25AB">
              <w:rPr>
                <w:highlight w:val="yellow"/>
              </w:rPr>
              <w:t xml:space="preserve">. The plan will be updated </w:t>
            </w:r>
            <w:r w:rsidR="00D4534F">
              <w:rPr>
                <w:highlight w:val="yellow"/>
              </w:rPr>
              <w:t xml:space="preserve">based on </w:t>
            </w:r>
            <w:r w:rsidR="005B25AB">
              <w:rPr>
                <w:highlight w:val="yellow"/>
              </w:rPr>
              <w:t xml:space="preserve">finding from the </w:t>
            </w:r>
            <w:r w:rsidR="00D4534F">
              <w:rPr>
                <w:highlight w:val="yellow"/>
              </w:rPr>
              <w:t>annual assessment</w:t>
            </w:r>
            <w:r w:rsidRPr="00980D35">
              <w:rPr>
                <w:highlight w:val="yellow"/>
              </w:rPr>
              <w:t>.</w:t>
            </w:r>
            <w:r>
              <w:t xml:space="preserve">  </w:t>
            </w:r>
          </w:p>
          <w:p w14:paraId="2DE3BB0C" w14:textId="77777777" w:rsidR="000A6991" w:rsidRDefault="000A6991" w:rsidP="007535AD"/>
          <w:p w14:paraId="148B7DD3" w14:textId="2475BC40" w:rsidR="000A6991" w:rsidRDefault="000A6991" w:rsidP="00487B09">
            <w:r w:rsidRPr="005A7A9E">
              <w:t xml:space="preserve">The Committee has access to organizational data pertinent to the analysis of workplace violence </w:t>
            </w:r>
            <w:r>
              <w:t xml:space="preserve">or security issues </w:t>
            </w:r>
            <w:r w:rsidRPr="005A7A9E">
              <w:t xml:space="preserve">which may include but is not limited to: </w:t>
            </w:r>
          </w:p>
          <w:p w14:paraId="4666BF8C" w14:textId="77777777" w:rsidR="000A6991" w:rsidRDefault="000A6991" w:rsidP="005A7A9E">
            <w:pPr>
              <w:pStyle w:val="ListParagraph"/>
              <w:numPr>
                <w:ilvl w:val="0"/>
                <w:numId w:val="26"/>
              </w:numPr>
            </w:pPr>
            <w:r>
              <w:t>Documented workplace violent (WPV) events</w:t>
            </w:r>
          </w:p>
          <w:p w14:paraId="28D41D26" w14:textId="7E47AF7A" w:rsidR="001E21CB" w:rsidRDefault="000A6991" w:rsidP="001E21CB">
            <w:pPr>
              <w:pStyle w:val="ListParagraph"/>
              <w:numPr>
                <w:ilvl w:val="0"/>
                <w:numId w:val="26"/>
              </w:numPr>
            </w:pPr>
            <w:r>
              <w:t>Worker claims data resulting from WPV</w:t>
            </w:r>
          </w:p>
          <w:p w14:paraId="217E3E56" w14:textId="77777777" w:rsidR="000A6991" w:rsidRDefault="000A6991" w:rsidP="005A7A9E">
            <w:pPr>
              <w:pStyle w:val="ListParagraph"/>
              <w:numPr>
                <w:ilvl w:val="0"/>
                <w:numId w:val="26"/>
              </w:numPr>
            </w:pPr>
            <w:r>
              <w:t>Security reports</w:t>
            </w:r>
          </w:p>
          <w:p w14:paraId="032A2736" w14:textId="77777777" w:rsidR="000A6991" w:rsidRDefault="000A6991" w:rsidP="005A7A9E">
            <w:pPr>
              <w:pStyle w:val="ListParagraph"/>
              <w:numPr>
                <w:ilvl w:val="0"/>
                <w:numId w:val="26"/>
              </w:numPr>
            </w:pPr>
            <w:r>
              <w:lastRenderedPageBreak/>
              <w:t>EDIE Event and Security Reports</w:t>
            </w:r>
          </w:p>
          <w:p w14:paraId="7DABDADD" w14:textId="00DB7585" w:rsidR="000A6991" w:rsidRPr="00B30144" w:rsidRDefault="000A6991" w:rsidP="005F7999">
            <w:pPr>
              <w:pStyle w:val="ListParagraph"/>
              <w:numPr>
                <w:ilvl w:val="0"/>
                <w:numId w:val="26"/>
              </w:numPr>
            </w:pPr>
            <w:r>
              <w:t xml:space="preserve">Staff engagement/experience data as relevant </w:t>
            </w:r>
          </w:p>
        </w:tc>
        <w:tc>
          <w:tcPr>
            <w:tcW w:w="2790" w:type="dxa"/>
          </w:tcPr>
          <w:p w14:paraId="051F3C4D" w14:textId="77777777" w:rsidR="000A6991" w:rsidRDefault="000A6991" w:rsidP="007535AD">
            <w:r>
              <w:lastRenderedPageBreak/>
              <w:t xml:space="preserve">See </w:t>
            </w:r>
            <w:hyperlink r:id="rId10" w:history="1">
              <w:r w:rsidRPr="000A6991">
                <w:rPr>
                  <w:rStyle w:val="Hyperlink"/>
                </w:rPr>
                <w:t>Section 2. ‘Getting Started’</w:t>
              </w:r>
            </w:hyperlink>
            <w:r>
              <w:t xml:space="preserve"> of the OAHHS toolkit:</w:t>
            </w:r>
          </w:p>
          <w:p w14:paraId="737C17E2" w14:textId="0B8AA256" w:rsidR="000A6991" w:rsidRDefault="000A6991" w:rsidP="007535AD">
            <w:r>
              <w:t>- Tips for effective committees</w:t>
            </w:r>
          </w:p>
          <w:p w14:paraId="03215631" w14:textId="437AB5AC" w:rsidR="000A6991" w:rsidRPr="00B30144" w:rsidRDefault="000A6991" w:rsidP="007535AD">
            <w:r>
              <w:t xml:space="preserve">- Sample project charter </w:t>
            </w:r>
          </w:p>
        </w:tc>
      </w:tr>
      <w:tr w:rsidR="000A6991" w:rsidRPr="00B30144" w14:paraId="62D2BF03" w14:textId="30F447C7" w:rsidTr="000A6991">
        <w:tc>
          <w:tcPr>
            <w:tcW w:w="1800" w:type="dxa"/>
          </w:tcPr>
          <w:p w14:paraId="11EB449F" w14:textId="1246F610" w:rsidR="000A6991" w:rsidRPr="00B30144" w:rsidRDefault="000A6991" w:rsidP="00980D35">
            <w:pPr>
              <w:jc w:val="center"/>
              <w:rPr>
                <w:b/>
              </w:rPr>
            </w:pPr>
            <w:r>
              <w:rPr>
                <w:b/>
              </w:rPr>
              <w:t xml:space="preserve">Guiding Principles </w:t>
            </w:r>
          </w:p>
        </w:tc>
        <w:tc>
          <w:tcPr>
            <w:tcW w:w="6750" w:type="dxa"/>
          </w:tcPr>
          <w:p w14:paraId="08011AB1" w14:textId="77777777" w:rsidR="005F7999" w:rsidRDefault="005F7999" w:rsidP="000A6991">
            <w:pPr>
              <w:pStyle w:val="ListParagraph"/>
              <w:numPr>
                <w:ilvl w:val="0"/>
                <w:numId w:val="29"/>
              </w:numPr>
            </w:pPr>
            <w:r>
              <w:t>A culture of Safety</w:t>
            </w:r>
          </w:p>
          <w:p w14:paraId="17102E3E" w14:textId="15DADA9B" w:rsidR="000A6991" w:rsidRPr="00980D35" w:rsidRDefault="000A6991" w:rsidP="000A6991">
            <w:pPr>
              <w:pStyle w:val="ListParagraph"/>
              <w:numPr>
                <w:ilvl w:val="0"/>
                <w:numId w:val="29"/>
              </w:numPr>
            </w:pPr>
            <w:r w:rsidRPr="00980D35">
              <w:t>Transparency and clear communication</w:t>
            </w:r>
          </w:p>
          <w:p w14:paraId="62CABEDD" w14:textId="68650639" w:rsidR="000A6991" w:rsidRPr="00980D35" w:rsidRDefault="000A6991" w:rsidP="000A6991">
            <w:pPr>
              <w:pStyle w:val="ListParagraph"/>
              <w:numPr>
                <w:ilvl w:val="0"/>
                <w:numId w:val="29"/>
              </w:numPr>
            </w:pPr>
            <w:r w:rsidRPr="00980D35">
              <w:t xml:space="preserve">Evidence Based Practice </w:t>
            </w:r>
          </w:p>
          <w:p w14:paraId="170902EC" w14:textId="2955EA4E" w:rsidR="000A6991" w:rsidRPr="00980D35" w:rsidRDefault="000A6991" w:rsidP="000A6991">
            <w:pPr>
              <w:pStyle w:val="ListParagraph"/>
              <w:numPr>
                <w:ilvl w:val="0"/>
                <w:numId w:val="29"/>
              </w:numPr>
            </w:pPr>
            <w:r w:rsidRPr="00980D35">
              <w:t>Establishing and maintaining a Healthy Work Environment</w:t>
            </w:r>
          </w:p>
          <w:p w14:paraId="2F000D54" w14:textId="77777777" w:rsidR="000A6991" w:rsidRPr="00980D35" w:rsidRDefault="000A6991" w:rsidP="000A6991">
            <w:pPr>
              <w:pStyle w:val="ListParagraph"/>
              <w:numPr>
                <w:ilvl w:val="0"/>
                <w:numId w:val="29"/>
              </w:numPr>
            </w:pPr>
            <w:r w:rsidRPr="00980D35">
              <w:t>Patient/Family Centered Care</w:t>
            </w:r>
          </w:p>
          <w:p w14:paraId="5AFC2D00" w14:textId="20426A98" w:rsidR="000A6991" w:rsidRPr="00980D35" w:rsidRDefault="000A6991" w:rsidP="000A6991">
            <w:pPr>
              <w:pStyle w:val="ListParagraph"/>
              <w:numPr>
                <w:ilvl w:val="0"/>
                <w:numId w:val="29"/>
              </w:numPr>
            </w:pPr>
            <w:r w:rsidRPr="00980D35">
              <w:t>Assurance of Quality</w:t>
            </w:r>
          </w:p>
          <w:p w14:paraId="17573F34" w14:textId="5E3F325B" w:rsidR="000A6991" w:rsidRPr="00980D35" w:rsidRDefault="000A6991" w:rsidP="000A6991">
            <w:pPr>
              <w:pStyle w:val="ListParagraph"/>
              <w:numPr>
                <w:ilvl w:val="0"/>
                <w:numId w:val="29"/>
              </w:numPr>
            </w:pPr>
            <w:r w:rsidRPr="00980D35">
              <w:t>Interdepartmental Collaboration</w:t>
            </w:r>
          </w:p>
          <w:p w14:paraId="3E9F72A4" w14:textId="1C9BF7EC" w:rsidR="000A6991" w:rsidRPr="00980D35" w:rsidRDefault="000A6991" w:rsidP="000A6991">
            <w:pPr>
              <w:pStyle w:val="ListParagraph"/>
              <w:numPr>
                <w:ilvl w:val="0"/>
                <w:numId w:val="29"/>
              </w:numPr>
            </w:pPr>
            <w:r w:rsidRPr="00980D35">
              <w:t xml:space="preserve">Accessibility </w:t>
            </w:r>
          </w:p>
          <w:p w14:paraId="09B43E9D" w14:textId="3E0CEC58" w:rsidR="00D4534F" w:rsidRPr="005F7999" w:rsidRDefault="000A6991" w:rsidP="005F7999">
            <w:pPr>
              <w:pStyle w:val="ListParagraph"/>
              <w:numPr>
                <w:ilvl w:val="0"/>
                <w:numId w:val="29"/>
              </w:numPr>
              <w:rPr>
                <w:b/>
              </w:rPr>
            </w:pPr>
            <w:r w:rsidRPr="00980D35">
              <w:t>Culture of Inquiry and Innovation</w:t>
            </w:r>
          </w:p>
        </w:tc>
        <w:tc>
          <w:tcPr>
            <w:tcW w:w="2790" w:type="dxa"/>
          </w:tcPr>
          <w:p w14:paraId="26727D0E" w14:textId="77777777" w:rsidR="000A6991" w:rsidRPr="00980D35" w:rsidRDefault="000A6991" w:rsidP="000A6991">
            <w:pPr>
              <w:pStyle w:val="ListParagraph"/>
            </w:pPr>
          </w:p>
        </w:tc>
      </w:tr>
      <w:tr w:rsidR="000A6991" w:rsidRPr="00B30144" w14:paraId="78D02A93" w14:textId="113451D0" w:rsidTr="000A6991">
        <w:tc>
          <w:tcPr>
            <w:tcW w:w="1800" w:type="dxa"/>
          </w:tcPr>
          <w:p w14:paraId="0EB34F39" w14:textId="1E629F03" w:rsidR="000A6991" w:rsidRDefault="000A6991" w:rsidP="00980D35">
            <w:pPr>
              <w:jc w:val="center"/>
              <w:rPr>
                <w:b/>
              </w:rPr>
            </w:pPr>
            <w:r>
              <w:rPr>
                <w:b/>
              </w:rPr>
              <w:t>Reports To</w:t>
            </w:r>
          </w:p>
        </w:tc>
        <w:tc>
          <w:tcPr>
            <w:tcW w:w="6750" w:type="dxa"/>
          </w:tcPr>
          <w:p w14:paraId="0FF3033E" w14:textId="4A2D83FB" w:rsidR="000A6991" w:rsidRPr="00980D35" w:rsidRDefault="000A6991" w:rsidP="005A0BE9">
            <w:r>
              <w:t xml:space="preserve">The Committee reports to [insert] </w:t>
            </w:r>
            <w:r w:rsidR="005B25AB">
              <w:t>(e.g., hospital quality committee)</w:t>
            </w:r>
            <w:r>
              <w:t>.</w:t>
            </w:r>
          </w:p>
        </w:tc>
        <w:tc>
          <w:tcPr>
            <w:tcW w:w="2790" w:type="dxa"/>
          </w:tcPr>
          <w:p w14:paraId="1F33563B" w14:textId="77777777" w:rsidR="000A6991" w:rsidRDefault="000A6991" w:rsidP="005A0BE9"/>
        </w:tc>
      </w:tr>
      <w:tr w:rsidR="000A6991" w:rsidRPr="00B30144" w14:paraId="2A3892F9" w14:textId="0F7FDBB8" w:rsidTr="000A6991">
        <w:tc>
          <w:tcPr>
            <w:tcW w:w="1800" w:type="dxa"/>
          </w:tcPr>
          <w:p w14:paraId="04D8A14D" w14:textId="77777777" w:rsidR="000A6991" w:rsidRPr="00B30144" w:rsidRDefault="000A6991" w:rsidP="004052D1">
            <w:pPr>
              <w:rPr>
                <w:b/>
              </w:rPr>
            </w:pPr>
            <w:r w:rsidRPr="00B30144">
              <w:rPr>
                <w:b/>
              </w:rPr>
              <w:t>Tasks/</w:t>
            </w:r>
          </w:p>
          <w:p w14:paraId="05B0AB64" w14:textId="77777777" w:rsidR="000A6991" w:rsidRPr="00B30144" w:rsidRDefault="000A6991" w:rsidP="004052D1">
            <w:pPr>
              <w:rPr>
                <w:b/>
              </w:rPr>
            </w:pPr>
            <w:r w:rsidRPr="00B30144">
              <w:rPr>
                <w:b/>
              </w:rPr>
              <w:t xml:space="preserve">Functions </w:t>
            </w:r>
          </w:p>
          <w:p w14:paraId="65ABD971" w14:textId="77777777" w:rsidR="000A6991" w:rsidRPr="00B30144" w:rsidRDefault="000A6991" w:rsidP="004052D1">
            <w:pPr>
              <w:rPr>
                <w:b/>
              </w:rPr>
            </w:pPr>
          </w:p>
        </w:tc>
        <w:tc>
          <w:tcPr>
            <w:tcW w:w="6750" w:type="dxa"/>
          </w:tcPr>
          <w:p w14:paraId="0CC1B426" w14:textId="77777777" w:rsidR="000A6991" w:rsidRPr="00757AAD" w:rsidRDefault="000A6991" w:rsidP="00BA3F95">
            <w:pPr>
              <w:rPr>
                <w:b/>
              </w:rPr>
            </w:pPr>
            <w:r w:rsidRPr="00757AAD">
              <w:rPr>
                <w:b/>
              </w:rPr>
              <w:t>The Committee will:</w:t>
            </w:r>
          </w:p>
          <w:p w14:paraId="7E28BF16" w14:textId="77777777" w:rsidR="000A6991" w:rsidRPr="00757AAD" w:rsidRDefault="000A6991" w:rsidP="00BA3F95">
            <w:pPr>
              <w:rPr>
                <w:b/>
              </w:rPr>
            </w:pPr>
          </w:p>
          <w:p w14:paraId="7C37B26A" w14:textId="77777777" w:rsidR="000A6991" w:rsidRPr="00757AAD" w:rsidRDefault="000A6991" w:rsidP="00BA3F95">
            <w:pPr>
              <w:rPr>
                <w:b/>
              </w:rPr>
            </w:pPr>
            <w:r w:rsidRPr="00757AAD">
              <w:rPr>
                <w:b/>
                <w:highlight w:val="yellow"/>
              </w:rPr>
              <w:t>Develop a plan –</w:t>
            </w:r>
            <w:r w:rsidRPr="00757AAD">
              <w:rPr>
                <w:b/>
              </w:rPr>
              <w:t xml:space="preserve"> </w:t>
            </w:r>
          </w:p>
          <w:p w14:paraId="7FC47D6C" w14:textId="77777777" w:rsidR="000A6991" w:rsidRDefault="000A6991" w:rsidP="00487B09">
            <w:pPr>
              <w:numPr>
                <w:ilvl w:val="0"/>
                <w:numId w:val="13"/>
              </w:numPr>
              <w:rPr>
                <w:highlight w:val="yellow"/>
              </w:rPr>
            </w:pPr>
            <w:r w:rsidRPr="001E286D">
              <w:rPr>
                <w:highlight w:val="yellow"/>
              </w:rPr>
              <w:t>Outline strategies aimed at addressing security considerations and factors that may contribute to or prevent the risk of violence, including but not limited to the following:</w:t>
            </w:r>
          </w:p>
          <w:p w14:paraId="300C8E3F" w14:textId="77777777" w:rsidR="000A6991" w:rsidRDefault="000A6991" w:rsidP="001E286D">
            <w:pPr>
              <w:numPr>
                <w:ilvl w:val="1"/>
                <w:numId w:val="13"/>
              </w:numPr>
              <w:rPr>
                <w:highlight w:val="yellow"/>
              </w:rPr>
            </w:pPr>
            <w:r>
              <w:rPr>
                <w:highlight w:val="yellow"/>
              </w:rPr>
              <w:t>Physical attributes of the hospital including security systems, alarms, emergency response and security personnel available;</w:t>
            </w:r>
          </w:p>
          <w:p w14:paraId="6CB9E405" w14:textId="77777777" w:rsidR="000A6991" w:rsidRDefault="000A6991" w:rsidP="001E286D">
            <w:pPr>
              <w:numPr>
                <w:ilvl w:val="1"/>
                <w:numId w:val="13"/>
              </w:numPr>
              <w:rPr>
                <w:highlight w:val="yellow"/>
              </w:rPr>
            </w:pPr>
            <w:r>
              <w:rPr>
                <w:highlight w:val="yellow"/>
              </w:rPr>
              <w:t>Staffing, staffing patterns, patient classifications and strategies to mitigate employees time working alone in areas of high-risk for WPV;</w:t>
            </w:r>
          </w:p>
          <w:p w14:paraId="326D8B8E" w14:textId="77777777" w:rsidR="000A6991" w:rsidRDefault="000A6991" w:rsidP="001E286D">
            <w:pPr>
              <w:numPr>
                <w:ilvl w:val="1"/>
                <w:numId w:val="13"/>
              </w:numPr>
              <w:rPr>
                <w:highlight w:val="yellow"/>
              </w:rPr>
            </w:pPr>
            <w:r>
              <w:rPr>
                <w:highlight w:val="yellow"/>
              </w:rPr>
              <w:t>Job design, equipment and facilities;</w:t>
            </w:r>
          </w:p>
          <w:p w14:paraId="2F8F8441" w14:textId="77777777" w:rsidR="000A6991" w:rsidRDefault="000A6991" w:rsidP="001E286D">
            <w:pPr>
              <w:numPr>
                <w:ilvl w:val="1"/>
                <w:numId w:val="13"/>
              </w:numPr>
              <w:rPr>
                <w:highlight w:val="yellow"/>
              </w:rPr>
            </w:pPr>
            <w:r>
              <w:rPr>
                <w:highlight w:val="yellow"/>
              </w:rPr>
              <w:t>First aid and emergency procedures;</w:t>
            </w:r>
          </w:p>
          <w:p w14:paraId="2FD177E6" w14:textId="77777777" w:rsidR="000A6991" w:rsidRDefault="000A6991" w:rsidP="001E286D">
            <w:pPr>
              <w:numPr>
                <w:ilvl w:val="1"/>
                <w:numId w:val="13"/>
              </w:numPr>
              <w:rPr>
                <w:highlight w:val="yellow"/>
              </w:rPr>
            </w:pPr>
            <w:r>
              <w:rPr>
                <w:highlight w:val="yellow"/>
              </w:rPr>
              <w:t xml:space="preserve">Reporting of violent acts </w:t>
            </w:r>
            <w:r w:rsidRPr="001E286D">
              <w:t>and strategies to increase reporting</w:t>
            </w:r>
            <w:r>
              <w:rPr>
                <w:highlight w:val="yellow"/>
              </w:rPr>
              <w:t>;</w:t>
            </w:r>
          </w:p>
          <w:p w14:paraId="11F17492" w14:textId="77777777" w:rsidR="000A6991" w:rsidRDefault="000A6991" w:rsidP="001E286D">
            <w:pPr>
              <w:numPr>
                <w:ilvl w:val="1"/>
                <w:numId w:val="13"/>
              </w:numPr>
              <w:rPr>
                <w:highlight w:val="yellow"/>
              </w:rPr>
            </w:pPr>
            <w:r>
              <w:rPr>
                <w:highlight w:val="yellow"/>
              </w:rPr>
              <w:t xml:space="preserve">Employee education and training requirements and implementation strategy; </w:t>
            </w:r>
          </w:p>
          <w:p w14:paraId="7711B97C" w14:textId="77777777" w:rsidR="000A6991" w:rsidRDefault="000A6991" w:rsidP="001E286D">
            <w:pPr>
              <w:numPr>
                <w:ilvl w:val="1"/>
                <w:numId w:val="13"/>
              </w:numPr>
              <w:rPr>
                <w:highlight w:val="yellow"/>
              </w:rPr>
            </w:pPr>
            <w:r>
              <w:rPr>
                <w:highlight w:val="yellow"/>
              </w:rPr>
              <w:t>Security risks associated with specific units, areas with uncontrolled access, late night or early morning shifts and employee security in areas surrounding the facility (e.g., parking areas); and</w:t>
            </w:r>
          </w:p>
          <w:p w14:paraId="7E05CFF1" w14:textId="77777777" w:rsidR="000A6991" w:rsidRDefault="000A6991" w:rsidP="001E286D">
            <w:pPr>
              <w:numPr>
                <w:ilvl w:val="1"/>
                <w:numId w:val="13"/>
              </w:numPr>
              <w:rPr>
                <w:highlight w:val="yellow"/>
              </w:rPr>
            </w:pPr>
            <w:r>
              <w:rPr>
                <w:highlight w:val="yellow"/>
              </w:rPr>
              <w:t xml:space="preserve">Processes and expected interventions to </w:t>
            </w:r>
            <w:proofErr w:type="gramStart"/>
            <w:r>
              <w:rPr>
                <w:highlight w:val="yellow"/>
              </w:rPr>
              <w:t>provide assistance to</w:t>
            </w:r>
            <w:proofErr w:type="gramEnd"/>
            <w:r>
              <w:rPr>
                <w:highlight w:val="yellow"/>
              </w:rPr>
              <w:t xml:space="preserve"> employees directly affected by a violent act.; </w:t>
            </w:r>
          </w:p>
          <w:p w14:paraId="4007412B" w14:textId="0FEFEBB5" w:rsidR="000A6991" w:rsidRDefault="000A6991" w:rsidP="00893D68">
            <w:pPr>
              <w:numPr>
                <w:ilvl w:val="0"/>
                <w:numId w:val="13"/>
              </w:numPr>
              <w:rPr>
                <w:highlight w:val="yellow"/>
              </w:rPr>
            </w:pPr>
            <w:r>
              <w:rPr>
                <w:highlight w:val="yellow"/>
              </w:rPr>
              <w:t>Review W</w:t>
            </w:r>
            <w:r w:rsidR="00D4534F">
              <w:rPr>
                <w:highlight w:val="yellow"/>
              </w:rPr>
              <w:t>VP</w:t>
            </w:r>
            <w:r>
              <w:rPr>
                <w:highlight w:val="yellow"/>
              </w:rPr>
              <w:t xml:space="preserve"> incidents, the</w:t>
            </w:r>
            <w:r w:rsidR="00D4534F">
              <w:rPr>
                <w:highlight w:val="yellow"/>
              </w:rPr>
              <w:t>ir</w:t>
            </w:r>
            <w:r>
              <w:rPr>
                <w:highlight w:val="yellow"/>
              </w:rPr>
              <w:t xml:space="preserve"> cause and consequences, and identify emerging issues that may contribute to W</w:t>
            </w:r>
            <w:r w:rsidR="00D4534F">
              <w:rPr>
                <w:highlight w:val="yellow"/>
              </w:rPr>
              <w:t>VP</w:t>
            </w:r>
            <w:r>
              <w:rPr>
                <w:highlight w:val="yellow"/>
              </w:rPr>
              <w:t xml:space="preserve"> annually.</w:t>
            </w:r>
          </w:p>
          <w:p w14:paraId="715BE8C2" w14:textId="77777777" w:rsidR="000A6991" w:rsidRDefault="000A6991" w:rsidP="00893D68">
            <w:pPr>
              <w:numPr>
                <w:ilvl w:val="0"/>
                <w:numId w:val="13"/>
              </w:numPr>
              <w:rPr>
                <w:highlight w:val="yellow"/>
              </w:rPr>
            </w:pPr>
            <w:r>
              <w:rPr>
                <w:highlight w:val="yellow"/>
              </w:rPr>
              <w:t>Adjust the plan based on annual review findings.</w:t>
            </w:r>
          </w:p>
          <w:p w14:paraId="6DFD4805" w14:textId="02323874" w:rsidR="000A6991" w:rsidRDefault="000A6991" w:rsidP="00893D68">
            <w:pPr>
              <w:numPr>
                <w:ilvl w:val="0"/>
                <w:numId w:val="13"/>
              </w:numPr>
              <w:rPr>
                <w:highlight w:val="yellow"/>
              </w:rPr>
            </w:pPr>
            <w:r>
              <w:rPr>
                <w:highlight w:val="yellow"/>
              </w:rPr>
              <w:t>Consider any guidelines on W</w:t>
            </w:r>
            <w:r w:rsidR="00D4534F">
              <w:rPr>
                <w:highlight w:val="yellow"/>
              </w:rPr>
              <w:t>VP</w:t>
            </w:r>
            <w:r>
              <w:rPr>
                <w:highlight w:val="yellow"/>
              </w:rPr>
              <w:t xml:space="preserve"> issues by the Washington State Department of Health, Department of Social and Health Services and Department of Labor and Industry, the federal Occupational Safety and Health Administration and Medicare and health care setting accrediting organizations.  </w:t>
            </w:r>
          </w:p>
          <w:p w14:paraId="28C0D73D" w14:textId="77777777" w:rsidR="000A6991" w:rsidRDefault="000A6991" w:rsidP="00710F93">
            <w:pPr>
              <w:rPr>
                <w:highlight w:val="yellow"/>
              </w:rPr>
            </w:pPr>
          </w:p>
          <w:p w14:paraId="090DF689" w14:textId="77777777" w:rsidR="000A6991" w:rsidRPr="00757AAD" w:rsidRDefault="000A6991" w:rsidP="00710F93">
            <w:pPr>
              <w:rPr>
                <w:b/>
                <w:highlight w:val="yellow"/>
              </w:rPr>
            </w:pPr>
            <w:r w:rsidRPr="00757AAD">
              <w:rPr>
                <w:b/>
                <w:highlight w:val="yellow"/>
              </w:rPr>
              <w:t>Support violence prevention training</w:t>
            </w:r>
            <w:r>
              <w:rPr>
                <w:b/>
                <w:highlight w:val="yellow"/>
              </w:rPr>
              <w:t xml:space="preserve"> as required by RCW 49.19.020</w:t>
            </w:r>
            <w:r w:rsidRPr="00757AAD">
              <w:rPr>
                <w:b/>
                <w:highlight w:val="yellow"/>
              </w:rPr>
              <w:t xml:space="preserve"> – </w:t>
            </w:r>
          </w:p>
          <w:p w14:paraId="77B7A229" w14:textId="77777777" w:rsidR="000A6991" w:rsidRDefault="000A6991" w:rsidP="00757AAD">
            <w:pPr>
              <w:pStyle w:val="ListParagraph"/>
              <w:numPr>
                <w:ilvl w:val="0"/>
                <w:numId w:val="27"/>
              </w:numPr>
              <w:rPr>
                <w:highlight w:val="yellow"/>
              </w:rPr>
            </w:pPr>
            <w:r>
              <w:rPr>
                <w:highlight w:val="yellow"/>
              </w:rPr>
              <w:t>P</w:t>
            </w:r>
            <w:r w:rsidRPr="00710F93">
              <w:rPr>
                <w:highlight w:val="yellow"/>
              </w:rPr>
              <w:t>rovide violence prevention training to applicable employees, volunteers and contracted security as determined by the plan.</w:t>
            </w:r>
          </w:p>
          <w:p w14:paraId="5AD4E82B" w14:textId="77777777" w:rsidR="000A6991" w:rsidRPr="00757AAD" w:rsidRDefault="000A6991" w:rsidP="00757AAD">
            <w:pPr>
              <w:pStyle w:val="ListParagraph"/>
              <w:numPr>
                <w:ilvl w:val="0"/>
                <w:numId w:val="27"/>
              </w:numPr>
              <w:rPr>
                <w:highlight w:val="yellow"/>
              </w:rPr>
            </w:pPr>
            <w:r>
              <w:rPr>
                <w:highlight w:val="yellow"/>
              </w:rPr>
              <w:t xml:space="preserve">The method and frequency of trainings may vary as identified by the plan. </w:t>
            </w:r>
            <w:r w:rsidRPr="00757AAD">
              <w:rPr>
                <w:highlight w:val="yellow"/>
              </w:rPr>
              <w:t>Trainings may include, but are not limited to:</w:t>
            </w:r>
          </w:p>
          <w:p w14:paraId="34DB9B67" w14:textId="77777777" w:rsidR="000A6991" w:rsidRDefault="000A6991" w:rsidP="00757AAD">
            <w:pPr>
              <w:pStyle w:val="ListParagraph"/>
              <w:numPr>
                <w:ilvl w:val="1"/>
                <w:numId w:val="27"/>
              </w:numPr>
              <w:rPr>
                <w:highlight w:val="yellow"/>
              </w:rPr>
            </w:pPr>
            <w:r>
              <w:rPr>
                <w:highlight w:val="yellow"/>
              </w:rPr>
              <w:t>Classes that provide an opportunity for interactive questions and answers;</w:t>
            </w:r>
          </w:p>
          <w:p w14:paraId="67E599D4" w14:textId="77777777" w:rsidR="000A6991" w:rsidRDefault="000A6991" w:rsidP="00757AAD">
            <w:pPr>
              <w:pStyle w:val="ListParagraph"/>
              <w:numPr>
                <w:ilvl w:val="1"/>
                <w:numId w:val="27"/>
              </w:numPr>
              <w:rPr>
                <w:highlight w:val="yellow"/>
              </w:rPr>
            </w:pPr>
            <w:r>
              <w:rPr>
                <w:highlight w:val="yellow"/>
              </w:rPr>
              <w:t xml:space="preserve">Hands on training; </w:t>
            </w:r>
          </w:p>
          <w:p w14:paraId="6E4B4AEE" w14:textId="77777777" w:rsidR="000A6991" w:rsidRDefault="000A6991" w:rsidP="00757AAD">
            <w:pPr>
              <w:pStyle w:val="ListParagraph"/>
              <w:numPr>
                <w:ilvl w:val="1"/>
                <w:numId w:val="27"/>
              </w:numPr>
              <w:rPr>
                <w:highlight w:val="yellow"/>
              </w:rPr>
            </w:pPr>
            <w:r>
              <w:rPr>
                <w:highlight w:val="yellow"/>
              </w:rPr>
              <w:t>Video training;</w:t>
            </w:r>
          </w:p>
          <w:p w14:paraId="59868266" w14:textId="77777777" w:rsidR="000A6991" w:rsidRDefault="000A6991" w:rsidP="00757AAD">
            <w:pPr>
              <w:pStyle w:val="ListParagraph"/>
              <w:numPr>
                <w:ilvl w:val="1"/>
                <w:numId w:val="27"/>
              </w:numPr>
              <w:rPr>
                <w:highlight w:val="yellow"/>
              </w:rPr>
            </w:pPr>
            <w:r>
              <w:rPr>
                <w:highlight w:val="yellow"/>
              </w:rPr>
              <w:t>Brochures;</w:t>
            </w:r>
          </w:p>
          <w:p w14:paraId="1845594D" w14:textId="77777777" w:rsidR="000A6991" w:rsidRDefault="000A6991" w:rsidP="00757AAD">
            <w:pPr>
              <w:pStyle w:val="ListParagraph"/>
              <w:numPr>
                <w:ilvl w:val="1"/>
                <w:numId w:val="27"/>
              </w:numPr>
              <w:rPr>
                <w:highlight w:val="yellow"/>
              </w:rPr>
            </w:pPr>
            <w:r>
              <w:rPr>
                <w:highlight w:val="yellow"/>
              </w:rPr>
              <w:t>Verbal training; or</w:t>
            </w:r>
          </w:p>
          <w:p w14:paraId="377F9512" w14:textId="77777777" w:rsidR="000A6991" w:rsidRDefault="000A6991" w:rsidP="00757AAD">
            <w:pPr>
              <w:pStyle w:val="ListParagraph"/>
              <w:numPr>
                <w:ilvl w:val="1"/>
                <w:numId w:val="27"/>
              </w:numPr>
              <w:rPr>
                <w:highlight w:val="yellow"/>
              </w:rPr>
            </w:pPr>
            <w:r>
              <w:rPr>
                <w:highlight w:val="yellow"/>
              </w:rPr>
              <w:t xml:space="preserve">Other verbal/written training as determined by the plan. </w:t>
            </w:r>
          </w:p>
          <w:p w14:paraId="3486B2EC" w14:textId="77777777" w:rsidR="000A6991" w:rsidRDefault="000A6991" w:rsidP="00757AAD">
            <w:pPr>
              <w:pStyle w:val="ListParagraph"/>
              <w:numPr>
                <w:ilvl w:val="0"/>
                <w:numId w:val="27"/>
              </w:numPr>
              <w:rPr>
                <w:highlight w:val="yellow"/>
              </w:rPr>
            </w:pPr>
            <w:r>
              <w:rPr>
                <w:highlight w:val="yellow"/>
              </w:rPr>
              <w:t xml:space="preserve">Trainings must address the following topics as appropriate to the hospital and to specific employees being trained. Trainings must be based on hazards identified in the plan. </w:t>
            </w:r>
            <w:r w:rsidRPr="005A005D">
              <w:t>*Every employee does not need to receive the same type or level of training.</w:t>
            </w:r>
            <w:r>
              <w:t xml:space="preserve"> Trainings will be tailored to address hazards identified and to the specific employee type. </w:t>
            </w:r>
            <w:r w:rsidRPr="005A005D">
              <w:t xml:space="preserve"> </w:t>
            </w:r>
          </w:p>
          <w:p w14:paraId="2E8AEA57" w14:textId="77777777" w:rsidR="000A6991" w:rsidRDefault="000A6991" w:rsidP="005A005D">
            <w:pPr>
              <w:pStyle w:val="ListParagraph"/>
              <w:numPr>
                <w:ilvl w:val="1"/>
                <w:numId w:val="27"/>
              </w:numPr>
              <w:rPr>
                <w:highlight w:val="yellow"/>
              </w:rPr>
            </w:pPr>
            <w:r>
              <w:rPr>
                <w:highlight w:val="yellow"/>
              </w:rPr>
              <w:t>The hospital’s WPV prevention plan;</w:t>
            </w:r>
          </w:p>
          <w:p w14:paraId="224CE6F2" w14:textId="77777777" w:rsidR="000A6991" w:rsidRDefault="000A6991" w:rsidP="005A005D">
            <w:pPr>
              <w:pStyle w:val="ListParagraph"/>
              <w:numPr>
                <w:ilvl w:val="1"/>
                <w:numId w:val="27"/>
              </w:numPr>
              <w:rPr>
                <w:highlight w:val="yellow"/>
              </w:rPr>
            </w:pPr>
            <w:r>
              <w:rPr>
                <w:highlight w:val="yellow"/>
              </w:rPr>
              <w:t>General safety procedures;</w:t>
            </w:r>
          </w:p>
          <w:p w14:paraId="7B44957F" w14:textId="77777777" w:rsidR="000A6991" w:rsidRDefault="000A6991" w:rsidP="005A005D">
            <w:pPr>
              <w:pStyle w:val="ListParagraph"/>
              <w:numPr>
                <w:ilvl w:val="1"/>
                <w:numId w:val="27"/>
              </w:numPr>
              <w:rPr>
                <w:highlight w:val="yellow"/>
              </w:rPr>
            </w:pPr>
            <w:r>
              <w:rPr>
                <w:highlight w:val="yellow"/>
              </w:rPr>
              <w:t xml:space="preserve">Violence predicting behaviors and factors; </w:t>
            </w:r>
          </w:p>
          <w:p w14:paraId="11282333" w14:textId="77777777" w:rsidR="000A6991" w:rsidRDefault="000A6991" w:rsidP="005A005D">
            <w:pPr>
              <w:pStyle w:val="ListParagraph"/>
              <w:numPr>
                <w:ilvl w:val="1"/>
                <w:numId w:val="27"/>
              </w:numPr>
              <w:rPr>
                <w:highlight w:val="yellow"/>
              </w:rPr>
            </w:pPr>
            <w:r>
              <w:rPr>
                <w:highlight w:val="yellow"/>
              </w:rPr>
              <w:t xml:space="preserve">Violence escalation cycle; </w:t>
            </w:r>
          </w:p>
          <w:p w14:paraId="4BDB0AF5" w14:textId="5EB22E2D" w:rsidR="000A6991" w:rsidRDefault="000A6991" w:rsidP="005A005D">
            <w:pPr>
              <w:pStyle w:val="ListParagraph"/>
              <w:numPr>
                <w:ilvl w:val="1"/>
                <w:numId w:val="27"/>
              </w:numPr>
              <w:rPr>
                <w:highlight w:val="yellow"/>
              </w:rPr>
            </w:pPr>
            <w:r>
              <w:rPr>
                <w:highlight w:val="yellow"/>
              </w:rPr>
              <w:t>De-escalation techniques to minimize violent behavior;</w:t>
            </w:r>
          </w:p>
          <w:p w14:paraId="2D403205" w14:textId="77777777" w:rsidR="000A6991" w:rsidRDefault="000A6991" w:rsidP="005A005D">
            <w:pPr>
              <w:pStyle w:val="ListParagraph"/>
              <w:numPr>
                <w:ilvl w:val="1"/>
                <w:numId w:val="27"/>
              </w:numPr>
              <w:rPr>
                <w:highlight w:val="yellow"/>
              </w:rPr>
            </w:pPr>
            <w:r>
              <w:rPr>
                <w:highlight w:val="yellow"/>
              </w:rPr>
              <w:t>Strategies to prevent physical harm with hand-on practice or role play;</w:t>
            </w:r>
          </w:p>
          <w:p w14:paraId="12CBBB91" w14:textId="77777777" w:rsidR="000A6991" w:rsidRDefault="000A6991" w:rsidP="005A005D">
            <w:pPr>
              <w:pStyle w:val="ListParagraph"/>
              <w:numPr>
                <w:ilvl w:val="1"/>
                <w:numId w:val="27"/>
              </w:numPr>
              <w:rPr>
                <w:highlight w:val="yellow"/>
              </w:rPr>
            </w:pPr>
            <w:r>
              <w:rPr>
                <w:highlight w:val="yellow"/>
              </w:rPr>
              <w:t>Response team processes;</w:t>
            </w:r>
          </w:p>
          <w:p w14:paraId="2CE763AC" w14:textId="77777777" w:rsidR="000A6991" w:rsidRDefault="000A6991" w:rsidP="005A005D">
            <w:pPr>
              <w:pStyle w:val="ListParagraph"/>
              <w:numPr>
                <w:ilvl w:val="1"/>
                <w:numId w:val="27"/>
              </w:numPr>
              <w:rPr>
                <w:highlight w:val="yellow"/>
              </w:rPr>
            </w:pPr>
            <w:r>
              <w:rPr>
                <w:highlight w:val="yellow"/>
              </w:rPr>
              <w:t>Proper application and use of restraints, both physical and chemical;</w:t>
            </w:r>
          </w:p>
          <w:p w14:paraId="43E78797" w14:textId="77777777" w:rsidR="000A6991" w:rsidRDefault="000A6991" w:rsidP="005A005D">
            <w:pPr>
              <w:pStyle w:val="ListParagraph"/>
              <w:numPr>
                <w:ilvl w:val="1"/>
                <w:numId w:val="27"/>
              </w:numPr>
              <w:rPr>
                <w:highlight w:val="yellow"/>
              </w:rPr>
            </w:pPr>
            <w:r>
              <w:rPr>
                <w:highlight w:val="yellow"/>
              </w:rPr>
              <w:t>Documentation and reporting of incidents; and</w:t>
            </w:r>
          </w:p>
          <w:p w14:paraId="244977FC" w14:textId="77777777" w:rsidR="000A6991" w:rsidRPr="00757AAD" w:rsidRDefault="000A6991" w:rsidP="005A005D">
            <w:pPr>
              <w:pStyle w:val="ListParagraph"/>
              <w:numPr>
                <w:ilvl w:val="1"/>
                <w:numId w:val="27"/>
              </w:numPr>
              <w:rPr>
                <w:highlight w:val="yellow"/>
              </w:rPr>
            </w:pPr>
            <w:r>
              <w:rPr>
                <w:highlight w:val="yellow"/>
              </w:rPr>
              <w:t>Debrief process for affected employees following WPV acts.</w:t>
            </w:r>
          </w:p>
          <w:p w14:paraId="00BB3DA5" w14:textId="77777777" w:rsidR="000A6991" w:rsidRPr="00B30144" w:rsidRDefault="000A6991" w:rsidP="006F760C"/>
        </w:tc>
        <w:tc>
          <w:tcPr>
            <w:tcW w:w="2790" w:type="dxa"/>
          </w:tcPr>
          <w:p w14:paraId="69E8E65F" w14:textId="02FB5007" w:rsidR="000A6991" w:rsidRDefault="000A6991" w:rsidP="000A6991">
            <w:r>
              <w:lastRenderedPageBreak/>
              <w:t xml:space="preserve">See </w:t>
            </w:r>
            <w:hyperlink r:id="rId11" w:history="1">
              <w:r w:rsidRPr="000A6991">
                <w:rPr>
                  <w:rStyle w:val="Hyperlink"/>
                </w:rPr>
                <w:t xml:space="preserve">Section </w:t>
              </w:r>
              <w:r>
                <w:rPr>
                  <w:rStyle w:val="Hyperlink"/>
                </w:rPr>
                <w:t>3</w:t>
              </w:r>
              <w:r w:rsidRPr="000A6991">
                <w:rPr>
                  <w:rStyle w:val="Hyperlink"/>
                </w:rPr>
                <w:t>. ‘</w:t>
              </w:r>
              <w:r>
                <w:rPr>
                  <w:rStyle w:val="Hyperlink"/>
                </w:rPr>
                <w:t>Hazard Identification and Assessment</w:t>
              </w:r>
              <w:r w:rsidRPr="000A6991">
                <w:rPr>
                  <w:rStyle w:val="Hyperlink"/>
                </w:rPr>
                <w:t>’</w:t>
              </w:r>
            </w:hyperlink>
            <w:r>
              <w:t xml:space="preserve"> of the OAHHS toolkit:</w:t>
            </w:r>
          </w:p>
          <w:p w14:paraId="7E39C23A" w14:textId="577F062B" w:rsidR="000A6991" w:rsidRDefault="000A6991" w:rsidP="000A6991">
            <w:r>
              <w:t>- Gap analysis</w:t>
            </w:r>
          </w:p>
          <w:p w14:paraId="3F1C7198" w14:textId="602A6E59" w:rsidR="000A6991" w:rsidRDefault="000A6991" w:rsidP="000A6991">
            <w:r>
              <w:t>- Prioritizing level of risk for WPV and solutions</w:t>
            </w:r>
          </w:p>
          <w:p w14:paraId="56D828F1" w14:textId="203BCB90" w:rsidR="000A6991" w:rsidRDefault="000A6991" w:rsidP="000A6991">
            <w:r>
              <w:t>- Sample project plan template</w:t>
            </w:r>
          </w:p>
          <w:p w14:paraId="6E63AC3B" w14:textId="77777777" w:rsidR="000A6991" w:rsidRDefault="000A6991" w:rsidP="000A6991"/>
          <w:p w14:paraId="75B82807" w14:textId="6BCB46C9" w:rsidR="000A6991" w:rsidRDefault="000A6991" w:rsidP="000A6991">
            <w:r>
              <w:t xml:space="preserve">See </w:t>
            </w:r>
            <w:hyperlink r:id="rId12" w:history="1">
              <w:r w:rsidRPr="000A6991">
                <w:rPr>
                  <w:rStyle w:val="Hyperlink"/>
                </w:rPr>
                <w:t xml:space="preserve">Section </w:t>
              </w:r>
              <w:r>
                <w:rPr>
                  <w:rStyle w:val="Hyperlink"/>
                </w:rPr>
                <w:t>4</w:t>
              </w:r>
              <w:r w:rsidRPr="000A6991">
                <w:rPr>
                  <w:rStyle w:val="Hyperlink"/>
                </w:rPr>
                <w:t>. ‘</w:t>
              </w:r>
              <w:r>
                <w:rPr>
                  <w:rStyle w:val="Hyperlink"/>
                </w:rPr>
                <w:t>Developing the WPV Program</w:t>
              </w:r>
              <w:r w:rsidRPr="000A6991">
                <w:rPr>
                  <w:rStyle w:val="Hyperlink"/>
                </w:rPr>
                <w:t>’</w:t>
              </w:r>
            </w:hyperlink>
            <w:r>
              <w:t xml:space="preserve"> of the OAHHS toolkit:</w:t>
            </w:r>
          </w:p>
          <w:p w14:paraId="70678248" w14:textId="0AE4AE6A" w:rsidR="000A6991" w:rsidRDefault="000A6991" w:rsidP="000A6991">
            <w:r>
              <w:t>- Program policy</w:t>
            </w:r>
          </w:p>
          <w:p w14:paraId="68C63C6C" w14:textId="77777777" w:rsidR="000A6991" w:rsidRDefault="000A6991" w:rsidP="00BA3F95">
            <w:pPr>
              <w:rPr>
                <w:b/>
              </w:rPr>
            </w:pPr>
          </w:p>
          <w:p w14:paraId="6B42F5F4" w14:textId="0926C3AC" w:rsidR="000A6991" w:rsidRDefault="000A6991" w:rsidP="000A6991">
            <w:r>
              <w:t xml:space="preserve">See </w:t>
            </w:r>
            <w:hyperlink r:id="rId13" w:history="1">
              <w:r w:rsidRPr="000A6991">
                <w:rPr>
                  <w:rStyle w:val="Hyperlink"/>
                </w:rPr>
                <w:t xml:space="preserve">Section </w:t>
              </w:r>
              <w:r>
                <w:rPr>
                  <w:rStyle w:val="Hyperlink"/>
                </w:rPr>
                <w:t>6</w:t>
              </w:r>
              <w:r w:rsidRPr="000A6991">
                <w:rPr>
                  <w:rStyle w:val="Hyperlink"/>
                </w:rPr>
                <w:t>. ‘</w:t>
              </w:r>
              <w:r>
                <w:rPr>
                  <w:rStyle w:val="Hyperlink"/>
                </w:rPr>
                <w:t>Education and Training</w:t>
              </w:r>
              <w:r w:rsidRPr="000A6991">
                <w:rPr>
                  <w:rStyle w:val="Hyperlink"/>
                </w:rPr>
                <w:t>’</w:t>
              </w:r>
            </w:hyperlink>
            <w:r>
              <w:t xml:space="preserve"> of the OAHHS toolkit:</w:t>
            </w:r>
          </w:p>
          <w:p w14:paraId="16221469" w14:textId="77777777" w:rsidR="000A6991" w:rsidRDefault="000A6991" w:rsidP="00BA3F95">
            <w:pPr>
              <w:rPr>
                <w:b/>
              </w:rPr>
            </w:pPr>
          </w:p>
          <w:p w14:paraId="3475AC47" w14:textId="4021AD42" w:rsidR="000A6991" w:rsidRDefault="000A6991" w:rsidP="000A6991">
            <w:r>
              <w:t xml:space="preserve">See </w:t>
            </w:r>
            <w:hyperlink r:id="rId14" w:history="1">
              <w:r w:rsidRPr="000A6991">
                <w:rPr>
                  <w:rStyle w:val="Hyperlink"/>
                </w:rPr>
                <w:t xml:space="preserve">Section </w:t>
              </w:r>
              <w:r>
                <w:rPr>
                  <w:rStyle w:val="Hyperlink"/>
                </w:rPr>
                <w:t>7</w:t>
              </w:r>
              <w:r w:rsidRPr="000A6991">
                <w:rPr>
                  <w:rStyle w:val="Hyperlink"/>
                </w:rPr>
                <w:t>. ‘</w:t>
              </w:r>
              <w:r>
                <w:rPr>
                  <w:rStyle w:val="Hyperlink"/>
                </w:rPr>
                <w:t>Implementing</w:t>
              </w:r>
              <w:r w:rsidR="006F760C">
                <w:rPr>
                  <w:rStyle w:val="Hyperlink"/>
                </w:rPr>
                <w:t xml:space="preserve"> the WPV Program</w:t>
              </w:r>
              <w:r w:rsidRPr="000A6991">
                <w:rPr>
                  <w:rStyle w:val="Hyperlink"/>
                </w:rPr>
                <w:t>’</w:t>
              </w:r>
            </w:hyperlink>
            <w:r>
              <w:t xml:space="preserve"> of the OAHHS toolkit:</w:t>
            </w:r>
          </w:p>
          <w:p w14:paraId="371CE3DB" w14:textId="7AF4A31A" w:rsidR="000A6991" w:rsidRPr="00757AAD" w:rsidRDefault="000A6991" w:rsidP="00BA3F95">
            <w:pPr>
              <w:rPr>
                <w:b/>
              </w:rPr>
            </w:pPr>
          </w:p>
        </w:tc>
      </w:tr>
      <w:tr w:rsidR="000A6991" w:rsidRPr="00B30144" w14:paraId="19FDE554" w14:textId="6A5E235F" w:rsidTr="000A6991">
        <w:tc>
          <w:tcPr>
            <w:tcW w:w="1800" w:type="dxa"/>
          </w:tcPr>
          <w:p w14:paraId="576B1E7E" w14:textId="77777777" w:rsidR="000A6991" w:rsidRPr="00B30144" w:rsidRDefault="000A6991" w:rsidP="008D57C3">
            <w:pPr>
              <w:jc w:val="both"/>
              <w:rPr>
                <w:b/>
              </w:rPr>
            </w:pPr>
            <w:r w:rsidRPr="00B30144">
              <w:rPr>
                <w:b/>
              </w:rPr>
              <w:t>Time</w:t>
            </w:r>
            <w:r>
              <w:rPr>
                <w:b/>
              </w:rPr>
              <w:t xml:space="preserve">line </w:t>
            </w:r>
            <w:r w:rsidRPr="00B30144">
              <w:rPr>
                <w:b/>
              </w:rPr>
              <w:t>for Outcome Completion</w:t>
            </w:r>
          </w:p>
        </w:tc>
        <w:tc>
          <w:tcPr>
            <w:tcW w:w="6750" w:type="dxa"/>
          </w:tcPr>
          <w:p w14:paraId="437DAA6B" w14:textId="77777777" w:rsidR="000A6991" w:rsidRDefault="000A6991" w:rsidP="004E2861">
            <w:r>
              <w:t>The</w:t>
            </w:r>
            <w:r w:rsidRPr="00B30144">
              <w:t xml:space="preserve"> Committee will be established in accordance with </w:t>
            </w:r>
            <w:r>
              <w:t>RCW chapter</w:t>
            </w:r>
            <w:r w:rsidRPr="00B30144">
              <w:t xml:space="preserve"> </w:t>
            </w:r>
            <w:r>
              <w:t>49.19</w:t>
            </w:r>
            <w:r w:rsidRPr="00B30144">
              <w:t>70.14</w:t>
            </w:r>
            <w:r>
              <w:t>.</w:t>
            </w:r>
          </w:p>
          <w:p w14:paraId="46FF968C" w14:textId="77777777" w:rsidR="000A6991" w:rsidRPr="00B30144" w:rsidRDefault="000A6991" w:rsidP="004E2861">
            <w:pPr>
              <w:ind w:left="360"/>
            </w:pPr>
          </w:p>
          <w:p w14:paraId="563F643B" w14:textId="77777777" w:rsidR="000A6991" w:rsidRPr="00B30144" w:rsidRDefault="000A6991" w:rsidP="004E2861">
            <w:pPr>
              <w:numPr>
                <w:ilvl w:val="0"/>
                <w:numId w:val="16"/>
              </w:numPr>
            </w:pPr>
            <w:r w:rsidRPr="00B30144">
              <w:t>By _____________</w:t>
            </w:r>
            <w:r>
              <w:t>[</w:t>
            </w:r>
            <w:r w:rsidRPr="00B30144">
              <w:t>date</w:t>
            </w:r>
            <w:r>
              <w:t>],</w:t>
            </w:r>
            <w:r w:rsidRPr="00B30144">
              <w:t xml:space="preserve"> the will have approved the </w:t>
            </w:r>
            <w:r>
              <w:t>c</w:t>
            </w:r>
            <w:r w:rsidRPr="00B30144">
              <w:t xml:space="preserve">harter and finalized </w:t>
            </w:r>
            <w:r>
              <w:t xml:space="preserve">the </w:t>
            </w:r>
            <w:r w:rsidRPr="00B30144">
              <w:t>membership</w:t>
            </w:r>
            <w:r>
              <w:t xml:space="preserve"> for the following year. </w:t>
            </w:r>
          </w:p>
          <w:p w14:paraId="58F51070" w14:textId="53D76FF0" w:rsidR="000A6991" w:rsidRDefault="000A6991" w:rsidP="004E2861">
            <w:pPr>
              <w:numPr>
                <w:ilvl w:val="0"/>
                <w:numId w:val="16"/>
              </w:numPr>
            </w:pPr>
            <w:r w:rsidRPr="00B30144">
              <w:t xml:space="preserve">By _____________ </w:t>
            </w:r>
            <w:r>
              <w:t>[</w:t>
            </w:r>
            <w:r w:rsidRPr="00B30144">
              <w:t>date</w:t>
            </w:r>
            <w:r>
              <w:t>],</w:t>
            </w:r>
            <w:r w:rsidRPr="00B30144">
              <w:t xml:space="preserve"> the Committee will have reviewed</w:t>
            </w:r>
            <w:r>
              <w:t xml:space="preserve"> relevant data</w:t>
            </w:r>
            <w:r w:rsidRPr="00B30144">
              <w:t xml:space="preserve">, </w:t>
            </w:r>
            <w:r w:rsidR="005B25AB">
              <w:t xml:space="preserve">completed a gap analysis, </w:t>
            </w:r>
            <w:r w:rsidRPr="00B30144">
              <w:t>approved</w:t>
            </w:r>
            <w:r>
              <w:t>,</w:t>
            </w:r>
            <w:r w:rsidRPr="00B30144">
              <w:t xml:space="preserve"> and submitted </w:t>
            </w:r>
            <w:r>
              <w:t xml:space="preserve">a plan to the appropriate designee. </w:t>
            </w:r>
          </w:p>
          <w:p w14:paraId="4C846CD5" w14:textId="77777777" w:rsidR="000A6991" w:rsidRPr="004E2861" w:rsidRDefault="000A6991" w:rsidP="004E2861">
            <w:pPr>
              <w:numPr>
                <w:ilvl w:val="0"/>
                <w:numId w:val="16"/>
              </w:numPr>
            </w:pPr>
            <w:r w:rsidRPr="00B30144">
              <w:t xml:space="preserve">By _____________ </w:t>
            </w:r>
            <w:r>
              <w:t>[</w:t>
            </w:r>
            <w:r w:rsidRPr="00B30144">
              <w:t>date</w:t>
            </w:r>
            <w:r>
              <w:t>],</w:t>
            </w:r>
            <w:r w:rsidRPr="00B30144">
              <w:t xml:space="preserve"> the Committee will have </w:t>
            </w:r>
            <w:r>
              <w:t>re</w:t>
            </w:r>
            <w:r w:rsidRPr="00B30144">
              <w:t xml:space="preserve">reviewed </w:t>
            </w:r>
            <w:r>
              <w:t xml:space="preserve">the plan, relevant data and executed changes as appropriate. </w:t>
            </w:r>
          </w:p>
          <w:p w14:paraId="0F50008C" w14:textId="77777777" w:rsidR="000A6991" w:rsidRDefault="000A6991" w:rsidP="001957F0">
            <w:pPr>
              <w:rPr>
                <w:highlight w:val="yellow"/>
              </w:rPr>
            </w:pPr>
          </w:p>
          <w:p w14:paraId="0B31B42F" w14:textId="77777777" w:rsidR="000A6991" w:rsidRDefault="000A6991" w:rsidP="001957F0">
            <w:pPr>
              <w:rPr>
                <w:highlight w:val="yellow"/>
              </w:rPr>
            </w:pPr>
            <w:r>
              <w:rPr>
                <w:highlight w:val="yellow"/>
              </w:rPr>
              <w:lastRenderedPageBreak/>
              <w:t xml:space="preserve">By January 1, 2020 the hospital will comply with the requirements set out in HB 1931. </w:t>
            </w:r>
          </w:p>
          <w:p w14:paraId="0CDA20D4" w14:textId="77777777" w:rsidR="000A6991" w:rsidRDefault="000A6991" w:rsidP="001957F0">
            <w:pPr>
              <w:rPr>
                <w:highlight w:val="yellow"/>
              </w:rPr>
            </w:pPr>
          </w:p>
          <w:p w14:paraId="272A2FDF" w14:textId="77777777" w:rsidR="000A6991" w:rsidRDefault="000A6991" w:rsidP="001957F0">
            <w:r w:rsidRPr="00710F93">
              <w:rPr>
                <w:highlight w:val="yellow"/>
              </w:rPr>
              <w:t>By July 1, 2020, and on a regular basis thereafter as established in the plan under RCW 49.19.020 a hospital will provide violence prevention training to applicable employees, volunteers and contracted security as determined by the plan.</w:t>
            </w:r>
            <w:r>
              <w:t xml:space="preserve"> </w:t>
            </w:r>
            <w:r w:rsidRPr="00757AAD">
              <w:rPr>
                <w:highlight w:val="yellow"/>
              </w:rPr>
              <w:t>Training will occur within 90 days of the employee’s initial hire date, unless the employee is a temporary employee.</w:t>
            </w:r>
          </w:p>
          <w:p w14:paraId="187B4319" w14:textId="0E83F4BA" w:rsidR="000A6991" w:rsidRDefault="000A6991" w:rsidP="001957F0"/>
          <w:p w14:paraId="77504415" w14:textId="1806F974" w:rsidR="009E1930" w:rsidRDefault="009E1930" w:rsidP="001957F0">
            <w:r>
              <w:t xml:space="preserve">*While not HB 1931 does not provide additional clarity around training for temporary employees, consideration should be given to employees to are temporary, but stay for extended periods of time. This consideration may also overlap with trainings based on the area of work and hazards identified. </w:t>
            </w:r>
          </w:p>
          <w:p w14:paraId="4BC9DBB1" w14:textId="77777777" w:rsidR="000A6991" w:rsidRPr="00B30144" w:rsidRDefault="000A6991" w:rsidP="004E2861"/>
        </w:tc>
        <w:tc>
          <w:tcPr>
            <w:tcW w:w="2790" w:type="dxa"/>
          </w:tcPr>
          <w:p w14:paraId="387FD30C" w14:textId="77777777" w:rsidR="000A6991" w:rsidRDefault="000A6991" w:rsidP="004E2861"/>
        </w:tc>
      </w:tr>
      <w:tr w:rsidR="000A6991" w:rsidRPr="00B30144" w14:paraId="49148789" w14:textId="1AD03D8A" w:rsidTr="000A6991">
        <w:tc>
          <w:tcPr>
            <w:tcW w:w="1800" w:type="dxa"/>
          </w:tcPr>
          <w:p w14:paraId="3C537AB1" w14:textId="77777777" w:rsidR="000A6991" w:rsidRPr="00B30144" w:rsidRDefault="000A6991" w:rsidP="008D57C3">
            <w:pPr>
              <w:jc w:val="both"/>
              <w:rPr>
                <w:b/>
              </w:rPr>
            </w:pPr>
            <w:r w:rsidRPr="00B30144">
              <w:rPr>
                <w:b/>
              </w:rPr>
              <w:t>Meeting Management</w:t>
            </w:r>
          </w:p>
        </w:tc>
        <w:tc>
          <w:tcPr>
            <w:tcW w:w="6750" w:type="dxa"/>
          </w:tcPr>
          <w:p w14:paraId="6996B476" w14:textId="77777777" w:rsidR="000A6991" w:rsidRPr="00B30144" w:rsidRDefault="000A6991" w:rsidP="003D3450">
            <w:pPr>
              <w:rPr>
                <w:b/>
              </w:rPr>
            </w:pPr>
            <w:r w:rsidRPr="00B30144">
              <w:rPr>
                <w:b/>
              </w:rPr>
              <w:t>Meeting schedule:</w:t>
            </w:r>
          </w:p>
          <w:p w14:paraId="5595FCBD" w14:textId="6AA4019F" w:rsidR="000A6991" w:rsidRDefault="000A6991" w:rsidP="003D3450">
            <w:r w:rsidRPr="00B30144">
              <w:t>The Committee will meet on a ______</w:t>
            </w:r>
            <w:r>
              <w:t xml:space="preserve"> [insert]</w:t>
            </w:r>
            <w:r w:rsidRPr="00B30144">
              <w:t xml:space="preserve"> basis.  Notices of meeting dates and times will be</w:t>
            </w:r>
            <w:r w:rsidR="001E21CB">
              <w:t xml:space="preserve"> ideally</w:t>
            </w:r>
            <w:r w:rsidRPr="00B30144">
              <w:t xml:space="preserve"> distributed at least ___ </w:t>
            </w:r>
            <w:r>
              <w:t xml:space="preserve">[insert] </w:t>
            </w:r>
            <w:r w:rsidRPr="00B30144">
              <w:t>days in advance in order to better accommodate</w:t>
            </w:r>
            <w:r>
              <w:t xml:space="preserve"> availability and</w:t>
            </w:r>
            <w:r w:rsidRPr="00B30144">
              <w:t xml:space="preserve"> scheduling.  </w:t>
            </w:r>
          </w:p>
          <w:p w14:paraId="760DD1BF" w14:textId="77777777" w:rsidR="000A6991" w:rsidRPr="00B30144" w:rsidRDefault="000A6991" w:rsidP="003D3450"/>
          <w:p w14:paraId="0B348C98" w14:textId="77777777" w:rsidR="000A6991" w:rsidRPr="00B30144" w:rsidRDefault="000A6991" w:rsidP="003D3450">
            <w:pPr>
              <w:rPr>
                <w:b/>
              </w:rPr>
            </w:pPr>
            <w:r w:rsidRPr="00B30144">
              <w:rPr>
                <w:b/>
              </w:rPr>
              <w:t>Record-keeping/minutes:</w:t>
            </w:r>
          </w:p>
          <w:p w14:paraId="7A024E99" w14:textId="77777777" w:rsidR="000A6991" w:rsidRDefault="000A6991" w:rsidP="005D26A7">
            <w:pPr>
              <w:numPr>
                <w:ilvl w:val="0"/>
                <w:numId w:val="19"/>
              </w:numPr>
            </w:pPr>
            <w:r w:rsidRPr="00B30144">
              <w:t>Meeting agendas will be distributed to all committee members at least one week in advance of each meeting.</w:t>
            </w:r>
          </w:p>
          <w:p w14:paraId="458E4A4E" w14:textId="77777777" w:rsidR="000A6991" w:rsidRDefault="000A6991" w:rsidP="001957F0">
            <w:pPr>
              <w:numPr>
                <w:ilvl w:val="0"/>
                <w:numId w:val="19"/>
              </w:numPr>
            </w:pPr>
            <w:r w:rsidRPr="00B30144">
              <w:t>The minutes of each meeting will be distributed to all committee members with each meeting agenda, with approval of the minutes as a standing agenda item for each meeting.</w:t>
            </w:r>
          </w:p>
          <w:p w14:paraId="7EC55C96" w14:textId="40B8E0B7" w:rsidR="000A6991" w:rsidRPr="00B30144" w:rsidRDefault="000A6991" w:rsidP="005D26A7">
            <w:pPr>
              <w:numPr>
                <w:ilvl w:val="0"/>
                <w:numId w:val="19"/>
              </w:numPr>
            </w:pPr>
            <w:r>
              <w:t>A m</w:t>
            </w:r>
            <w:r w:rsidRPr="00B30144">
              <w:t xml:space="preserve">aster </w:t>
            </w:r>
            <w:r>
              <w:t>c</w:t>
            </w:r>
            <w:r w:rsidRPr="00B30144">
              <w:t>opy of all agendas and meeting minutes from the Committee minutes will be maintained and available</w:t>
            </w:r>
            <w:r w:rsidR="001E21CB">
              <w:t xml:space="preserve"> upon request</w:t>
            </w:r>
            <w:r w:rsidRPr="00B30144">
              <w:t>.</w:t>
            </w:r>
          </w:p>
          <w:p w14:paraId="747DE6EB" w14:textId="77777777" w:rsidR="000A6991" w:rsidRPr="00B30144" w:rsidRDefault="000A6991" w:rsidP="003D3450">
            <w:pPr>
              <w:rPr>
                <w:b/>
              </w:rPr>
            </w:pPr>
            <w:r w:rsidRPr="00B30144">
              <w:rPr>
                <w:b/>
              </w:rPr>
              <w:t>Attendance requirements and participation expectations:</w:t>
            </w:r>
          </w:p>
          <w:p w14:paraId="1D10AC1A" w14:textId="2EACC764" w:rsidR="000A6991" w:rsidRPr="00B30144" w:rsidRDefault="000A6991" w:rsidP="005D26A7">
            <w:pPr>
              <w:numPr>
                <w:ilvl w:val="0"/>
                <w:numId w:val="20"/>
              </w:numPr>
            </w:pPr>
            <w:r w:rsidRPr="00B30144">
              <w:t xml:space="preserve">All members are expected to attend </w:t>
            </w:r>
            <w:proofErr w:type="gramStart"/>
            <w:r w:rsidR="009E1930">
              <w:t>the majority o</w:t>
            </w:r>
            <w:r w:rsidRPr="00B30144">
              <w:t>f</w:t>
            </w:r>
            <w:proofErr w:type="gramEnd"/>
            <w:r w:rsidRPr="00B30144">
              <w:t xml:space="preserve"> the meetings held each year.  Failure to meet attendance expectations may result in removal from the committee.  </w:t>
            </w:r>
          </w:p>
          <w:p w14:paraId="23A7161F" w14:textId="77777777" w:rsidR="000A6991" w:rsidRPr="00B30144" w:rsidRDefault="000A6991" w:rsidP="005D26A7">
            <w:pPr>
              <w:numPr>
                <w:ilvl w:val="0"/>
                <w:numId w:val="20"/>
              </w:numPr>
            </w:pPr>
            <w:r w:rsidRPr="00B30144">
              <w:t>If a member needs to be excused, requests for an excused absence are communi</w:t>
            </w:r>
            <w:r>
              <w:t>cated to __________________ [insert co-chairs]</w:t>
            </w:r>
            <w:r w:rsidRPr="00B30144">
              <w:t xml:space="preserve">.  Failure to request an excused absence will result in attendance recorded as “absent” in the meeting minutes.  </w:t>
            </w:r>
          </w:p>
          <w:p w14:paraId="5C087156" w14:textId="77777777" w:rsidR="000A6991" w:rsidRPr="00B30144" w:rsidRDefault="000A6991" w:rsidP="005D26A7">
            <w:pPr>
              <w:numPr>
                <w:ilvl w:val="0"/>
                <w:numId w:val="20"/>
              </w:numPr>
            </w:pPr>
            <w:r w:rsidRPr="00B30144">
              <w:t>Replacement will be in accordance with aforementioned selection processes.</w:t>
            </w:r>
          </w:p>
          <w:p w14:paraId="4AF0D46C" w14:textId="77777777" w:rsidR="000A6991" w:rsidRDefault="000A6991" w:rsidP="005D26A7">
            <w:pPr>
              <w:numPr>
                <w:ilvl w:val="0"/>
                <w:numId w:val="20"/>
              </w:numPr>
            </w:pPr>
            <w:r w:rsidRPr="00B30144">
              <w:t>It is the expectation of the Committee that all members will participate actively</w:t>
            </w:r>
            <w:r>
              <w:t>,</w:t>
            </w:r>
            <w:r w:rsidRPr="00B30144">
              <w:t xml:space="preserve"> including reading required materials in advance of the meeting as assigned, coming prepared to meetings, and engaging in respectful dialogue as professional committee members.</w:t>
            </w:r>
          </w:p>
          <w:p w14:paraId="14120775" w14:textId="77777777" w:rsidR="000A6991" w:rsidRPr="00B30144" w:rsidRDefault="000A6991" w:rsidP="005D26A7"/>
          <w:p w14:paraId="12B4CD47" w14:textId="77777777" w:rsidR="000A6991" w:rsidRPr="00B30144" w:rsidRDefault="000A6991" w:rsidP="003D3450">
            <w:pPr>
              <w:rPr>
                <w:b/>
              </w:rPr>
            </w:pPr>
            <w:r w:rsidRPr="00B30144">
              <w:rPr>
                <w:b/>
              </w:rPr>
              <w:t>Decision-making process:</w:t>
            </w:r>
          </w:p>
          <w:p w14:paraId="3D33D1FE" w14:textId="77777777" w:rsidR="000A6991" w:rsidRDefault="000A6991" w:rsidP="005D26A7">
            <w:pPr>
              <w:numPr>
                <w:ilvl w:val="0"/>
                <w:numId w:val="21"/>
              </w:numPr>
            </w:pPr>
            <w:r w:rsidRPr="00B30144">
              <w:t xml:space="preserve">Consensus will </w:t>
            </w:r>
            <w:r>
              <w:t xml:space="preserve">normally </w:t>
            </w:r>
            <w:r w:rsidRPr="00B30144">
              <w:t>be used as the decision-making model.</w:t>
            </w:r>
          </w:p>
          <w:p w14:paraId="080BD5C4" w14:textId="77777777" w:rsidR="000A6991" w:rsidRPr="00B30144" w:rsidRDefault="000A6991" w:rsidP="005D26A7">
            <w:pPr>
              <w:numPr>
                <w:ilvl w:val="0"/>
                <w:numId w:val="21"/>
              </w:numPr>
            </w:pPr>
            <w:r>
              <w:t>Should a particular issue need to be voted upon by the committee,</w:t>
            </w:r>
            <w:r w:rsidRPr="00121D68">
              <w:t xml:space="preserve"> the action must be approved by a majority vote of the </w:t>
            </w:r>
            <w:r w:rsidRPr="00314CEE">
              <w:t>full committee (not just the majority of the members present at a particular meeting).</w:t>
            </w:r>
          </w:p>
        </w:tc>
        <w:tc>
          <w:tcPr>
            <w:tcW w:w="2790" w:type="dxa"/>
          </w:tcPr>
          <w:p w14:paraId="41D5AA3A" w14:textId="77777777" w:rsidR="000A6991" w:rsidRPr="00B30144" w:rsidRDefault="000A6991" w:rsidP="003D3450">
            <w:pPr>
              <w:rPr>
                <w:b/>
              </w:rPr>
            </w:pPr>
          </w:p>
        </w:tc>
      </w:tr>
      <w:tr w:rsidR="000A6991" w14:paraId="7DD0B288" w14:textId="3CF05DC5" w:rsidTr="000A6991">
        <w:tc>
          <w:tcPr>
            <w:tcW w:w="1800" w:type="dxa"/>
            <w:shd w:val="clear" w:color="auto" w:fill="auto"/>
          </w:tcPr>
          <w:p w14:paraId="33A0699D" w14:textId="77777777" w:rsidR="000A6991" w:rsidRPr="006362CA" w:rsidRDefault="000A6991" w:rsidP="00C93009">
            <w:pPr>
              <w:jc w:val="center"/>
              <w:rPr>
                <w:b/>
              </w:rPr>
            </w:pPr>
            <w:r w:rsidRPr="006362CA">
              <w:rPr>
                <w:b/>
              </w:rPr>
              <w:t xml:space="preserve">New Committee </w:t>
            </w:r>
            <w:r>
              <w:rPr>
                <w:b/>
              </w:rPr>
              <w:t xml:space="preserve">Member </w:t>
            </w:r>
            <w:r w:rsidRPr="006362CA">
              <w:rPr>
                <w:b/>
              </w:rPr>
              <w:t>Requirements</w:t>
            </w:r>
          </w:p>
        </w:tc>
        <w:tc>
          <w:tcPr>
            <w:tcW w:w="6750" w:type="dxa"/>
            <w:shd w:val="clear" w:color="auto" w:fill="auto"/>
          </w:tcPr>
          <w:p w14:paraId="2C007385" w14:textId="7D08595B" w:rsidR="000A6991" w:rsidRPr="00314CEE" w:rsidRDefault="000A6991" w:rsidP="00487B09">
            <w:pPr>
              <w:numPr>
                <w:ilvl w:val="0"/>
                <w:numId w:val="25"/>
              </w:numPr>
            </w:pPr>
            <w:r w:rsidRPr="00314CEE">
              <w:t>Committee members will go through education/orientation.</w:t>
            </w:r>
          </w:p>
          <w:p w14:paraId="285C73BC" w14:textId="77777777" w:rsidR="000A6991" w:rsidRPr="006362CA" w:rsidRDefault="000A6991" w:rsidP="00487B09">
            <w:pPr>
              <w:numPr>
                <w:ilvl w:val="0"/>
                <w:numId w:val="25"/>
              </w:numPr>
            </w:pPr>
            <w:r w:rsidRPr="00314CEE">
              <w:t>If possible, staff are encouraged to attend at least one meeting and review charter prior to committing.</w:t>
            </w:r>
          </w:p>
        </w:tc>
        <w:tc>
          <w:tcPr>
            <w:tcW w:w="2790" w:type="dxa"/>
          </w:tcPr>
          <w:p w14:paraId="6C4A1B37" w14:textId="77777777" w:rsidR="000A6991" w:rsidRPr="00314CEE" w:rsidRDefault="000A6991" w:rsidP="009E1930">
            <w:pPr>
              <w:ind w:left="360"/>
            </w:pPr>
          </w:p>
        </w:tc>
      </w:tr>
      <w:tr w:rsidR="000A6991" w14:paraId="147FD38A" w14:textId="72030636" w:rsidTr="000A6991">
        <w:tc>
          <w:tcPr>
            <w:tcW w:w="1800" w:type="dxa"/>
            <w:shd w:val="clear" w:color="auto" w:fill="auto"/>
          </w:tcPr>
          <w:p w14:paraId="4A5E174C" w14:textId="77777777" w:rsidR="000A6991" w:rsidRPr="006362CA" w:rsidRDefault="000A6991" w:rsidP="00C93009">
            <w:pPr>
              <w:jc w:val="center"/>
              <w:rPr>
                <w:b/>
              </w:rPr>
            </w:pPr>
            <w:r>
              <w:rPr>
                <w:b/>
              </w:rPr>
              <w:t>Exhibit A</w:t>
            </w:r>
          </w:p>
        </w:tc>
        <w:tc>
          <w:tcPr>
            <w:tcW w:w="6750" w:type="dxa"/>
            <w:shd w:val="clear" w:color="auto" w:fill="auto"/>
          </w:tcPr>
          <w:p w14:paraId="16B09D3F" w14:textId="5BAC685F" w:rsidR="000A6991" w:rsidRDefault="000A6991" w:rsidP="00314CEE">
            <w:r>
              <w:t xml:space="preserve">Under HB 1931, half of the committee members on the Safety Committee or Workplace Violence Committee must be employee-elected. The other half may be employer-selected. </w:t>
            </w:r>
            <w:r w:rsidR="000B321A">
              <w:t xml:space="preserve">These requirements had been in statute for hospital Safety Committees, and now also apply to Workplace Violence Committees. </w:t>
            </w:r>
            <w:r>
              <w:t>This means that hospitals need to develop and/or</w:t>
            </w:r>
            <w:r w:rsidR="000B321A">
              <w:t xml:space="preserve"> re-examine and implement</w:t>
            </w:r>
            <w:r>
              <w:t xml:space="preserve"> a structure to allow employees to express interest in participating on the Committee and for their peers to have a way to vote to elect them onto the Committee. </w:t>
            </w:r>
          </w:p>
          <w:p w14:paraId="108D3D2D" w14:textId="77777777" w:rsidR="000A6991" w:rsidRDefault="000A6991" w:rsidP="00314CEE"/>
          <w:p w14:paraId="15709F2C" w14:textId="77777777" w:rsidR="000A6991" w:rsidRDefault="000A6991" w:rsidP="00314CEE">
            <w:r>
              <w:t>There are multiple ways in which employee elections can happen. WSHA recommends using a structure that best aligns with current employee facing communications. This could include, but is not limited to:</w:t>
            </w:r>
          </w:p>
          <w:p w14:paraId="1C971AD3" w14:textId="77777777" w:rsidR="000A6991" w:rsidRDefault="000A6991" w:rsidP="00314CEE">
            <w:pPr>
              <w:pStyle w:val="ListParagraph"/>
              <w:numPr>
                <w:ilvl w:val="0"/>
                <w:numId w:val="28"/>
              </w:numPr>
            </w:pPr>
            <w:r>
              <w:t>Using hospital intranet or employee/HR portal</w:t>
            </w:r>
          </w:p>
          <w:p w14:paraId="6BECE133" w14:textId="77777777" w:rsidR="000A6991" w:rsidRDefault="000A6991" w:rsidP="00314CEE">
            <w:pPr>
              <w:pStyle w:val="ListParagraph"/>
              <w:numPr>
                <w:ilvl w:val="0"/>
                <w:numId w:val="28"/>
              </w:numPr>
            </w:pPr>
            <w:r>
              <w:t>Posting material in a common employee area of the hospital</w:t>
            </w:r>
          </w:p>
          <w:p w14:paraId="7BDE6582" w14:textId="77777777" w:rsidR="000A6991" w:rsidRDefault="000A6991" w:rsidP="00C1707E"/>
          <w:p w14:paraId="1DE926BD" w14:textId="77777777" w:rsidR="000A6991" w:rsidRPr="00314CEE" w:rsidRDefault="000A6991" w:rsidP="00C1707E">
            <w:r>
              <w:t xml:space="preserve">Once the Committee is formed, it is best practice to provide the Committee roster in a place where it is accessible by all employees. </w:t>
            </w:r>
          </w:p>
        </w:tc>
        <w:tc>
          <w:tcPr>
            <w:tcW w:w="2790" w:type="dxa"/>
          </w:tcPr>
          <w:p w14:paraId="791241EC" w14:textId="77777777" w:rsidR="000A6991" w:rsidRDefault="000A6991" w:rsidP="00314CEE"/>
        </w:tc>
      </w:tr>
    </w:tbl>
    <w:p w14:paraId="06E3156D" w14:textId="77777777" w:rsidR="00B12AFD" w:rsidRPr="00B30144" w:rsidRDefault="00B12AFD" w:rsidP="00B12AFD">
      <w:pPr>
        <w:jc w:val="center"/>
      </w:pPr>
    </w:p>
    <w:sectPr w:rsidR="00B12AFD" w:rsidRPr="00B30144">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725B" w14:textId="77777777" w:rsidR="00CE2E86" w:rsidRDefault="00CE2E86">
      <w:r>
        <w:separator/>
      </w:r>
    </w:p>
  </w:endnote>
  <w:endnote w:type="continuationSeparator" w:id="0">
    <w:p w14:paraId="02A62E40" w14:textId="77777777" w:rsidR="00CE2E86" w:rsidRDefault="00CE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8222116"/>
      <w:docPartObj>
        <w:docPartGallery w:val="Page Numbers (Bottom of Page)"/>
        <w:docPartUnique/>
      </w:docPartObj>
    </w:sdtPr>
    <w:sdtEndPr>
      <w:rPr>
        <w:rStyle w:val="PageNumber"/>
      </w:rPr>
    </w:sdtEndPr>
    <w:sdtContent>
      <w:p w14:paraId="10A7A13E" w14:textId="77777777" w:rsidR="001A2DDF" w:rsidRDefault="001A2DDF" w:rsidP="009740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190E2" w14:textId="77777777" w:rsidR="001A2DDF" w:rsidRDefault="001A2DDF" w:rsidP="001A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7284171"/>
      <w:docPartObj>
        <w:docPartGallery w:val="Page Numbers (Bottom of Page)"/>
        <w:docPartUnique/>
      </w:docPartObj>
    </w:sdtPr>
    <w:sdtEndPr>
      <w:rPr>
        <w:rStyle w:val="PageNumber"/>
      </w:rPr>
    </w:sdtEndPr>
    <w:sdtContent>
      <w:p w14:paraId="1CFDE7F3" w14:textId="77777777" w:rsidR="001A2DDF" w:rsidRDefault="001A2DDF" w:rsidP="009740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4E9B">
          <w:rPr>
            <w:rStyle w:val="PageNumber"/>
            <w:noProof/>
          </w:rPr>
          <w:t>1</w:t>
        </w:r>
        <w:r>
          <w:rPr>
            <w:rStyle w:val="PageNumber"/>
          </w:rPr>
          <w:fldChar w:fldCharType="end"/>
        </w:r>
      </w:p>
    </w:sdtContent>
  </w:sdt>
  <w:p w14:paraId="53B81DCF" w14:textId="1A442C48" w:rsidR="001A2DDF" w:rsidRDefault="00F535BE" w:rsidP="001A2DDF">
    <w:pPr>
      <w:pStyle w:val="Footer"/>
      <w:ind w:right="360"/>
    </w:pPr>
    <w:r>
      <w:t xml:space="preserve">Revised </w:t>
    </w:r>
    <w:r w:rsidR="00980D35">
      <w:t>August</w:t>
    </w:r>
    <w:r>
      <w:t xml:space="preserve"> 6, 201</w:t>
    </w:r>
    <w:r w:rsidR="00980D3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F94F" w14:textId="77777777" w:rsidR="00CE2E86" w:rsidRDefault="00CE2E86">
      <w:r>
        <w:separator/>
      </w:r>
    </w:p>
  </w:footnote>
  <w:footnote w:type="continuationSeparator" w:id="0">
    <w:p w14:paraId="09052584" w14:textId="77777777" w:rsidR="00CE2E86" w:rsidRDefault="00CE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5D68" w14:textId="7D4266B1" w:rsidR="005D26A7" w:rsidRPr="005D26A7" w:rsidRDefault="00376DA7" w:rsidP="00376DA7">
    <w:pPr>
      <w:pStyle w:val="Header"/>
      <w:tabs>
        <w:tab w:val="left" w:pos="2160"/>
        <w:tab w:val="left" w:pos="4320"/>
        <w:tab w:val="left" w:pos="6480"/>
      </w:tabs>
      <w:jc w:val="center"/>
      <w:rPr>
        <w:b/>
        <w:sz w:val="36"/>
        <w:szCs w:val="36"/>
      </w:rPr>
    </w:pPr>
    <w:r>
      <w:rPr>
        <w:b/>
        <w:sz w:val="36"/>
        <w:szCs w:val="36"/>
      </w:rPr>
      <w:tab/>
    </w:r>
    <w:r w:rsidR="00293F25">
      <w:rPr>
        <w:b/>
        <w:noProof/>
        <w:sz w:val="36"/>
        <w:szCs w:val="36"/>
      </w:rPr>
      <w:drawing>
        <wp:inline distT="0" distB="0" distL="0" distR="0" wp14:anchorId="71973C63" wp14:editId="51F49E7F">
          <wp:extent cx="1056640" cy="178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HA_logo_blue.jpg"/>
                  <pic:cNvPicPr/>
                </pic:nvPicPr>
                <pic:blipFill>
                  <a:blip r:embed="rId1">
                    <a:extLst>
                      <a:ext uri="{28A0092B-C50C-407E-A947-70E740481C1C}">
                        <a14:useLocalDpi xmlns:a14="http://schemas.microsoft.com/office/drawing/2010/main" val="0"/>
                      </a:ext>
                    </a:extLst>
                  </a:blip>
                  <a:stretch>
                    <a:fillRect/>
                  </a:stretch>
                </pic:blipFill>
                <pic:spPr>
                  <a:xfrm>
                    <a:off x="0" y="0"/>
                    <a:ext cx="1056640" cy="178021"/>
                  </a:xfrm>
                  <a:prstGeom prst="rect">
                    <a:avLst/>
                  </a:prstGeom>
                </pic:spPr>
              </pic:pic>
            </a:graphicData>
          </a:graphic>
        </wp:inline>
      </w:drawing>
    </w:r>
    <w:r w:rsidR="00730A42">
      <w:rPr>
        <w:b/>
        <w:sz w:val="36"/>
        <w:szCs w:val="36"/>
      </w:rPr>
      <w:tab/>
    </w:r>
    <w:r w:rsidR="00730A42">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34"/>
    <w:multiLevelType w:val="hybridMultilevel"/>
    <w:tmpl w:val="8452B5B6"/>
    <w:lvl w:ilvl="0" w:tplc="5592526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45F59"/>
    <w:multiLevelType w:val="hybridMultilevel"/>
    <w:tmpl w:val="2A1833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D6216C"/>
    <w:multiLevelType w:val="hybridMultilevel"/>
    <w:tmpl w:val="C4C0AA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AB4D8B"/>
    <w:multiLevelType w:val="hybridMultilevel"/>
    <w:tmpl w:val="1646E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82236"/>
    <w:multiLevelType w:val="hybridMultilevel"/>
    <w:tmpl w:val="78A861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777400"/>
    <w:multiLevelType w:val="hybridMultilevel"/>
    <w:tmpl w:val="202EF7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05649"/>
    <w:multiLevelType w:val="hybridMultilevel"/>
    <w:tmpl w:val="0C5A3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836CAC"/>
    <w:multiLevelType w:val="hybridMultilevel"/>
    <w:tmpl w:val="87A65B2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1C093B76"/>
    <w:multiLevelType w:val="hybridMultilevel"/>
    <w:tmpl w:val="DA66F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B315D"/>
    <w:multiLevelType w:val="hybridMultilevel"/>
    <w:tmpl w:val="E0B64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0E33A6"/>
    <w:multiLevelType w:val="hybridMultilevel"/>
    <w:tmpl w:val="308CDB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747FE"/>
    <w:multiLevelType w:val="hybridMultilevel"/>
    <w:tmpl w:val="2DA20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20780"/>
    <w:multiLevelType w:val="hybridMultilevel"/>
    <w:tmpl w:val="C016B034"/>
    <w:lvl w:ilvl="0" w:tplc="FC561234">
      <w:start w:val="1"/>
      <w:numFmt w:val="bullet"/>
      <w:lvlText w:val=""/>
      <w:lvlJc w:val="left"/>
      <w:pPr>
        <w:tabs>
          <w:tab w:val="num" w:pos="2526"/>
        </w:tabs>
        <w:ind w:left="2526" w:hanging="360"/>
      </w:pPr>
      <w:rPr>
        <w:rFonts w:ascii="Symbol" w:hAnsi="Symbol" w:hint="default"/>
        <w:color w:val="auto"/>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AE766B5"/>
    <w:multiLevelType w:val="hybridMultilevel"/>
    <w:tmpl w:val="E4AE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D0EF4"/>
    <w:multiLevelType w:val="hybridMultilevel"/>
    <w:tmpl w:val="87A43854"/>
    <w:lvl w:ilvl="0" w:tplc="30A0D70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55B6B"/>
    <w:multiLevelType w:val="hybridMultilevel"/>
    <w:tmpl w:val="9F5299E0"/>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550560"/>
    <w:multiLevelType w:val="hybridMultilevel"/>
    <w:tmpl w:val="E6CA7D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D76ADC"/>
    <w:multiLevelType w:val="hybridMultilevel"/>
    <w:tmpl w:val="B0BE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513CC"/>
    <w:multiLevelType w:val="hybridMultilevel"/>
    <w:tmpl w:val="41B8A3C2"/>
    <w:lvl w:ilvl="0" w:tplc="FC56123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FB19B0"/>
    <w:multiLevelType w:val="hybridMultilevel"/>
    <w:tmpl w:val="6D0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72E48"/>
    <w:multiLevelType w:val="hybridMultilevel"/>
    <w:tmpl w:val="77E062DA"/>
    <w:lvl w:ilvl="0" w:tplc="BE985398">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409F1"/>
    <w:multiLevelType w:val="hybridMultilevel"/>
    <w:tmpl w:val="3774D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9D3A1E"/>
    <w:multiLevelType w:val="hybridMultilevel"/>
    <w:tmpl w:val="99584146"/>
    <w:lvl w:ilvl="0" w:tplc="639A626C">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15:restartNumberingAfterBreak="0">
    <w:nsid w:val="6DA226C0"/>
    <w:multiLevelType w:val="hybridMultilevel"/>
    <w:tmpl w:val="85349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E1ED1"/>
    <w:multiLevelType w:val="hybridMultilevel"/>
    <w:tmpl w:val="BEE01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60C77"/>
    <w:multiLevelType w:val="hybridMultilevel"/>
    <w:tmpl w:val="E20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B078C"/>
    <w:multiLevelType w:val="hybridMultilevel"/>
    <w:tmpl w:val="BF7A4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0140BF4">
      <w:start w:val="2018"/>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C54F2A"/>
    <w:multiLevelType w:val="hybridMultilevel"/>
    <w:tmpl w:val="973C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C5C15"/>
    <w:multiLevelType w:val="multilevel"/>
    <w:tmpl w:val="C4C0AA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005C10"/>
    <w:multiLevelType w:val="hybridMultilevel"/>
    <w:tmpl w:val="27A0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727B6"/>
    <w:multiLevelType w:val="hybridMultilevel"/>
    <w:tmpl w:val="53488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30"/>
  </w:num>
  <w:num w:numId="4">
    <w:abstractNumId w:val="9"/>
  </w:num>
  <w:num w:numId="5">
    <w:abstractNumId w:val="7"/>
  </w:num>
  <w:num w:numId="6">
    <w:abstractNumId w:val="22"/>
  </w:num>
  <w:num w:numId="7">
    <w:abstractNumId w:val="16"/>
  </w:num>
  <w:num w:numId="8">
    <w:abstractNumId w:val="3"/>
  </w:num>
  <w:num w:numId="9">
    <w:abstractNumId w:val="24"/>
  </w:num>
  <w:num w:numId="10">
    <w:abstractNumId w:val="11"/>
  </w:num>
  <w:num w:numId="11">
    <w:abstractNumId w:val="14"/>
  </w:num>
  <w:num w:numId="12">
    <w:abstractNumId w:val="0"/>
  </w:num>
  <w:num w:numId="13">
    <w:abstractNumId w:val="2"/>
  </w:num>
  <w:num w:numId="14">
    <w:abstractNumId w:val="28"/>
  </w:num>
  <w:num w:numId="15">
    <w:abstractNumId w:val="15"/>
  </w:num>
  <w:num w:numId="16">
    <w:abstractNumId w:val="1"/>
  </w:num>
  <w:num w:numId="17">
    <w:abstractNumId w:val="4"/>
  </w:num>
  <w:num w:numId="18">
    <w:abstractNumId w:val="23"/>
  </w:num>
  <w:num w:numId="19">
    <w:abstractNumId w:val="21"/>
  </w:num>
  <w:num w:numId="20">
    <w:abstractNumId w:val="6"/>
  </w:num>
  <w:num w:numId="21">
    <w:abstractNumId w:val="10"/>
  </w:num>
  <w:num w:numId="22">
    <w:abstractNumId w:val="19"/>
  </w:num>
  <w:num w:numId="23">
    <w:abstractNumId w:val="12"/>
  </w:num>
  <w:num w:numId="24">
    <w:abstractNumId w:val="18"/>
  </w:num>
  <w:num w:numId="25">
    <w:abstractNumId w:val="8"/>
  </w:num>
  <w:num w:numId="26">
    <w:abstractNumId w:val="27"/>
  </w:num>
  <w:num w:numId="27">
    <w:abstractNumId w:val="26"/>
  </w:num>
  <w:num w:numId="28">
    <w:abstractNumId w:val="25"/>
  </w:num>
  <w:num w:numId="29">
    <w:abstractNumId w:val="13"/>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AFD"/>
    <w:rsid w:val="00000E8A"/>
    <w:rsid w:val="00026F39"/>
    <w:rsid w:val="00026FD7"/>
    <w:rsid w:val="000455CC"/>
    <w:rsid w:val="000616A3"/>
    <w:rsid w:val="00083CAC"/>
    <w:rsid w:val="000A610F"/>
    <w:rsid w:val="000A6991"/>
    <w:rsid w:val="000B29E3"/>
    <w:rsid w:val="000B321A"/>
    <w:rsid w:val="000B4A51"/>
    <w:rsid w:val="000C5ED9"/>
    <w:rsid w:val="000F4CD4"/>
    <w:rsid w:val="00114E9B"/>
    <w:rsid w:val="00121D68"/>
    <w:rsid w:val="00125710"/>
    <w:rsid w:val="001305F3"/>
    <w:rsid w:val="00150261"/>
    <w:rsid w:val="001748DA"/>
    <w:rsid w:val="001837C3"/>
    <w:rsid w:val="001957F0"/>
    <w:rsid w:val="00197A50"/>
    <w:rsid w:val="001A2DDF"/>
    <w:rsid w:val="001C3ED9"/>
    <w:rsid w:val="001D145C"/>
    <w:rsid w:val="001D3624"/>
    <w:rsid w:val="001D540D"/>
    <w:rsid w:val="001E21CB"/>
    <w:rsid w:val="001E286D"/>
    <w:rsid w:val="00201A22"/>
    <w:rsid w:val="002314EA"/>
    <w:rsid w:val="00235EAF"/>
    <w:rsid w:val="00240C18"/>
    <w:rsid w:val="0025577C"/>
    <w:rsid w:val="00261A8F"/>
    <w:rsid w:val="00290ECE"/>
    <w:rsid w:val="00293F25"/>
    <w:rsid w:val="002C3CE8"/>
    <w:rsid w:val="003110C2"/>
    <w:rsid w:val="00314CEE"/>
    <w:rsid w:val="00320EA2"/>
    <w:rsid w:val="003747D5"/>
    <w:rsid w:val="00375B13"/>
    <w:rsid w:val="00376DA7"/>
    <w:rsid w:val="00394F38"/>
    <w:rsid w:val="003D05B2"/>
    <w:rsid w:val="003D3450"/>
    <w:rsid w:val="004052D1"/>
    <w:rsid w:val="0043332E"/>
    <w:rsid w:val="00452403"/>
    <w:rsid w:val="00484914"/>
    <w:rsid w:val="00487B09"/>
    <w:rsid w:val="004C5F5F"/>
    <w:rsid w:val="004E2861"/>
    <w:rsid w:val="0051177D"/>
    <w:rsid w:val="005305CD"/>
    <w:rsid w:val="00530EAF"/>
    <w:rsid w:val="00536829"/>
    <w:rsid w:val="005400FF"/>
    <w:rsid w:val="005401C9"/>
    <w:rsid w:val="0054096E"/>
    <w:rsid w:val="0055621A"/>
    <w:rsid w:val="005851B1"/>
    <w:rsid w:val="00590C64"/>
    <w:rsid w:val="005A005D"/>
    <w:rsid w:val="005A0BE9"/>
    <w:rsid w:val="005A7A9E"/>
    <w:rsid w:val="005B25AB"/>
    <w:rsid w:val="005C3405"/>
    <w:rsid w:val="005C5DB9"/>
    <w:rsid w:val="005C7779"/>
    <w:rsid w:val="005D26A7"/>
    <w:rsid w:val="005F7999"/>
    <w:rsid w:val="00606F68"/>
    <w:rsid w:val="00610B24"/>
    <w:rsid w:val="00641274"/>
    <w:rsid w:val="00657CBF"/>
    <w:rsid w:val="00664BC2"/>
    <w:rsid w:val="00666A22"/>
    <w:rsid w:val="00687A4D"/>
    <w:rsid w:val="00693733"/>
    <w:rsid w:val="006A1B93"/>
    <w:rsid w:val="006A630E"/>
    <w:rsid w:val="006A6638"/>
    <w:rsid w:val="006F5A2C"/>
    <w:rsid w:val="006F606F"/>
    <w:rsid w:val="006F760C"/>
    <w:rsid w:val="00710F93"/>
    <w:rsid w:val="00715E66"/>
    <w:rsid w:val="00720641"/>
    <w:rsid w:val="00730A42"/>
    <w:rsid w:val="00734A61"/>
    <w:rsid w:val="007400DA"/>
    <w:rsid w:val="0074462E"/>
    <w:rsid w:val="0075354E"/>
    <w:rsid w:val="007535AD"/>
    <w:rsid w:val="007548FE"/>
    <w:rsid w:val="00757AAD"/>
    <w:rsid w:val="00764909"/>
    <w:rsid w:val="00790CDB"/>
    <w:rsid w:val="007C194C"/>
    <w:rsid w:val="007D3D4E"/>
    <w:rsid w:val="007E2C1C"/>
    <w:rsid w:val="00832659"/>
    <w:rsid w:val="00865E7F"/>
    <w:rsid w:val="00866DAE"/>
    <w:rsid w:val="00885A29"/>
    <w:rsid w:val="00893D68"/>
    <w:rsid w:val="00897074"/>
    <w:rsid w:val="00897C00"/>
    <w:rsid w:val="008A426A"/>
    <w:rsid w:val="008C2015"/>
    <w:rsid w:val="008C4AD9"/>
    <w:rsid w:val="008D57C3"/>
    <w:rsid w:val="008D710D"/>
    <w:rsid w:val="008E7C91"/>
    <w:rsid w:val="008F2B2C"/>
    <w:rsid w:val="009210FE"/>
    <w:rsid w:val="009267B7"/>
    <w:rsid w:val="00934D19"/>
    <w:rsid w:val="00950191"/>
    <w:rsid w:val="009645B4"/>
    <w:rsid w:val="00980D35"/>
    <w:rsid w:val="009B08C4"/>
    <w:rsid w:val="009C26DF"/>
    <w:rsid w:val="009D3F58"/>
    <w:rsid w:val="009E1930"/>
    <w:rsid w:val="00A03CD8"/>
    <w:rsid w:val="00A201E0"/>
    <w:rsid w:val="00A203A6"/>
    <w:rsid w:val="00A60386"/>
    <w:rsid w:val="00A660DA"/>
    <w:rsid w:val="00A97908"/>
    <w:rsid w:val="00AA711B"/>
    <w:rsid w:val="00AE70FC"/>
    <w:rsid w:val="00AF1F1C"/>
    <w:rsid w:val="00AF42F2"/>
    <w:rsid w:val="00B0395E"/>
    <w:rsid w:val="00B075AA"/>
    <w:rsid w:val="00B12AFD"/>
    <w:rsid w:val="00B30144"/>
    <w:rsid w:val="00B325A4"/>
    <w:rsid w:val="00B3340F"/>
    <w:rsid w:val="00B42AF8"/>
    <w:rsid w:val="00B75DB1"/>
    <w:rsid w:val="00BA3F95"/>
    <w:rsid w:val="00BB4B40"/>
    <w:rsid w:val="00BD231B"/>
    <w:rsid w:val="00BE5B8A"/>
    <w:rsid w:val="00C1707E"/>
    <w:rsid w:val="00C52B10"/>
    <w:rsid w:val="00C93009"/>
    <w:rsid w:val="00CA695A"/>
    <w:rsid w:val="00CD10C5"/>
    <w:rsid w:val="00CE2E86"/>
    <w:rsid w:val="00D068A6"/>
    <w:rsid w:val="00D23882"/>
    <w:rsid w:val="00D340F2"/>
    <w:rsid w:val="00D40533"/>
    <w:rsid w:val="00D4534F"/>
    <w:rsid w:val="00D567BD"/>
    <w:rsid w:val="00D56CBE"/>
    <w:rsid w:val="00D80B35"/>
    <w:rsid w:val="00D97C98"/>
    <w:rsid w:val="00DA2244"/>
    <w:rsid w:val="00DB7C47"/>
    <w:rsid w:val="00DF1CD2"/>
    <w:rsid w:val="00E00A8A"/>
    <w:rsid w:val="00E376C5"/>
    <w:rsid w:val="00E82C75"/>
    <w:rsid w:val="00EA44B9"/>
    <w:rsid w:val="00ED1CE6"/>
    <w:rsid w:val="00EE1CE2"/>
    <w:rsid w:val="00F341E5"/>
    <w:rsid w:val="00F535BE"/>
    <w:rsid w:val="00FA19F4"/>
    <w:rsid w:val="00FB3BA5"/>
    <w:rsid w:val="00FC09AB"/>
    <w:rsid w:val="00FF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D3A351"/>
  <w14:defaultImageDpi w14:val="32767"/>
  <w15:chartTrackingRefBased/>
  <w15:docId w15:val="{F0956C28-8747-1949-B8FC-50E106CF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26A7"/>
    <w:pPr>
      <w:tabs>
        <w:tab w:val="center" w:pos="4320"/>
        <w:tab w:val="right" w:pos="8640"/>
      </w:tabs>
    </w:pPr>
  </w:style>
  <w:style w:type="paragraph" w:styleId="Footer">
    <w:name w:val="footer"/>
    <w:basedOn w:val="Normal"/>
    <w:rsid w:val="005D26A7"/>
    <w:pPr>
      <w:tabs>
        <w:tab w:val="center" w:pos="4320"/>
        <w:tab w:val="right" w:pos="8640"/>
      </w:tabs>
    </w:pPr>
  </w:style>
  <w:style w:type="paragraph" w:styleId="BalloonText">
    <w:name w:val="Balloon Text"/>
    <w:basedOn w:val="Normal"/>
    <w:link w:val="BalloonTextChar"/>
    <w:uiPriority w:val="99"/>
    <w:semiHidden/>
    <w:unhideWhenUsed/>
    <w:rsid w:val="007535AD"/>
    <w:rPr>
      <w:sz w:val="18"/>
      <w:szCs w:val="18"/>
    </w:rPr>
  </w:style>
  <w:style w:type="character" w:customStyle="1" w:styleId="BalloonTextChar">
    <w:name w:val="Balloon Text Char"/>
    <w:link w:val="BalloonText"/>
    <w:uiPriority w:val="99"/>
    <w:semiHidden/>
    <w:rsid w:val="007535AD"/>
    <w:rPr>
      <w:sz w:val="18"/>
      <w:szCs w:val="18"/>
    </w:rPr>
  </w:style>
  <w:style w:type="character" w:styleId="CommentReference">
    <w:name w:val="annotation reference"/>
    <w:uiPriority w:val="99"/>
    <w:semiHidden/>
    <w:unhideWhenUsed/>
    <w:rsid w:val="009645B4"/>
    <w:rPr>
      <w:sz w:val="18"/>
      <w:szCs w:val="18"/>
    </w:rPr>
  </w:style>
  <w:style w:type="paragraph" w:styleId="CommentText">
    <w:name w:val="annotation text"/>
    <w:basedOn w:val="Normal"/>
    <w:link w:val="CommentTextChar"/>
    <w:uiPriority w:val="99"/>
    <w:semiHidden/>
    <w:unhideWhenUsed/>
    <w:rsid w:val="009645B4"/>
  </w:style>
  <w:style w:type="character" w:customStyle="1" w:styleId="CommentTextChar">
    <w:name w:val="Comment Text Char"/>
    <w:link w:val="CommentText"/>
    <w:uiPriority w:val="99"/>
    <w:semiHidden/>
    <w:rsid w:val="009645B4"/>
    <w:rPr>
      <w:sz w:val="24"/>
      <w:szCs w:val="24"/>
    </w:rPr>
  </w:style>
  <w:style w:type="paragraph" w:styleId="CommentSubject">
    <w:name w:val="annotation subject"/>
    <w:basedOn w:val="CommentText"/>
    <w:next w:val="CommentText"/>
    <w:link w:val="CommentSubjectChar"/>
    <w:uiPriority w:val="99"/>
    <w:semiHidden/>
    <w:unhideWhenUsed/>
    <w:rsid w:val="009645B4"/>
    <w:rPr>
      <w:b/>
      <w:bCs/>
      <w:sz w:val="20"/>
      <w:szCs w:val="20"/>
    </w:rPr>
  </w:style>
  <w:style w:type="character" w:customStyle="1" w:styleId="CommentSubjectChar">
    <w:name w:val="Comment Subject Char"/>
    <w:link w:val="CommentSubject"/>
    <w:uiPriority w:val="99"/>
    <w:semiHidden/>
    <w:rsid w:val="009645B4"/>
    <w:rPr>
      <w:b/>
      <w:bCs/>
      <w:sz w:val="24"/>
      <w:szCs w:val="24"/>
    </w:rPr>
  </w:style>
  <w:style w:type="character" w:styleId="Hyperlink">
    <w:name w:val="Hyperlink"/>
    <w:uiPriority w:val="99"/>
    <w:unhideWhenUsed/>
    <w:rsid w:val="005851B1"/>
    <w:rPr>
      <w:color w:val="0563C1"/>
      <w:u w:val="single"/>
    </w:rPr>
  </w:style>
  <w:style w:type="character" w:styleId="UnresolvedMention">
    <w:name w:val="Unresolved Mention"/>
    <w:uiPriority w:val="47"/>
    <w:rsid w:val="005851B1"/>
    <w:rPr>
      <w:color w:val="808080"/>
      <w:shd w:val="clear" w:color="auto" w:fill="E6E6E6"/>
    </w:rPr>
  </w:style>
  <w:style w:type="character" w:styleId="PageNumber">
    <w:name w:val="page number"/>
    <w:basedOn w:val="DefaultParagraphFont"/>
    <w:uiPriority w:val="99"/>
    <w:semiHidden/>
    <w:unhideWhenUsed/>
    <w:rsid w:val="001A2DDF"/>
  </w:style>
  <w:style w:type="paragraph" w:styleId="FootnoteText">
    <w:name w:val="footnote text"/>
    <w:basedOn w:val="Normal"/>
    <w:link w:val="FootnoteTextChar"/>
    <w:uiPriority w:val="99"/>
    <w:semiHidden/>
    <w:unhideWhenUsed/>
    <w:rsid w:val="00D340F2"/>
    <w:rPr>
      <w:sz w:val="20"/>
      <w:szCs w:val="20"/>
    </w:rPr>
  </w:style>
  <w:style w:type="character" w:customStyle="1" w:styleId="FootnoteTextChar">
    <w:name w:val="Footnote Text Char"/>
    <w:basedOn w:val="DefaultParagraphFont"/>
    <w:link w:val="FootnoteText"/>
    <w:uiPriority w:val="99"/>
    <w:semiHidden/>
    <w:rsid w:val="00D340F2"/>
  </w:style>
  <w:style w:type="character" w:styleId="FootnoteReference">
    <w:name w:val="footnote reference"/>
    <w:basedOn w:val="DefaultParagraphFont"/>
    <w:uiPriority w:val="99"/>
    <w:semiHidden/>
    <w:unhideWhenUsed/>
    <w:rsid w:val="00D340F2"/>
    <w:rPr>
      <w:vertAlign w:val="superscript"/>
    </w:rPr>
  </w:style>
  <w:style w:type="paragraph" w:styleId="ListParagraph">
    <w:name w:val="List Paragraph"/>
    <w:basedOn w:val="Normal"/>
    <w:uiPriority w:val="72"/>
    <w:qFormat/>
    <w:rsid w:val="005A7A9E"/>
    <w:pPr>
      <w:ind w:left="720"/>
      <w:contextualSpacing/>
    </w:p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49.19" TargetMode="External"/><Relationship Id="rId13" Type="http://schemas.openxmlformats.org/officeDocument/2006/relationships/hyperlink" Target="https://oahhs.org/assets/documents/documents/safety/WPV/Section%206%20Education%20and%20Training.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filesext.leg.wa.gov/biennium/2019-20/Pdf/Bills/Session%20Laws/House/1931-S.SL.pdf" TargetMode="External"/><Relationship Id="rId12" Type="http://schemas.openxmlformats.org/officeDocument/2006/relationships/hyperlink" Target="https://www.oahhs.org/assets/documents/documents/safety/WPV/Section%204%20Developing%20the%20WPV%20Program%20Pla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hhs.org/assets/documents/documents/safety/WPV/Section%203%20Hazard%20Indentification%20and%20Assessmen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ahhs.org/assets/documents/documents/safety/WPV/Section%202%20Getting%20Started.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ahhs.org/safety" TargetMode="External"/><Relationship Id="rId14" Type="http://schemas.openxmlformats.org/officeDocument/2006/relationships/hyperlink" Target="https://oahhs.org/assets/documents/documents/safety/WPV/Section%207%20Implementing%20the%20WPV%20Progra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1687</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NWONE/WSHA Workgroup Charter</vt:lpstr>
    </vt:vector>
  </TitlesOfParts>
  <Company> </Company>
  <LinksUpToDate>false</LinksUpToDate>
  <CharactersWithSpaces>12285</CharactersWithSpaces>
  <SharedDoc>false</SharedDoc>
  <HLinks>
    <vt:vector size="6" baseType="variant">
      <vt:variant>
        <vt:i4>524315</vt:i4>
      </vt:variant>
      <vt:variant>
        <vt:i4>0</vt:i4>
      </vt:variant>
      <vt:variant>
        <vt:i4>0</vt:i4>
      </vt:variant>
      <vt:variant>
        <vt:i4>5</vt:i4>
      </vt:variant>
      <vt:variant>
        <vt:lpwstr>http://lawfilesext.leg.wa.gov/biennium/2017-18/Pdf/Bills/Session Laws/House/1714-S.SL.pdf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NWONE/WSHA Workgroup Charter</dc:title>
  <dc:subject/>
  <dc:creator>Gladys</dc:creator>
  <cp:keywords/>
  <dc:description/>
  <cp:lastModifiedBy>Ian Corbridge</cp:lastModifiedBy>
  <cp:revision>4</cp:revision>
  <cp:lastPrinted>2019-08-09T22:04:00Z</cp:lastPrinted>
  <dcterms:created xsi:type="dcterms:W3CDTF">2019-08-28T21:47:00Z</dcterms:created>
  <dcterms:modified xsi:type="dcterms:W3CDTF">2019-10-18T20:50:00Z</dcterms:modified>
</cp:coreProperties>
</file>