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C169" w14:textId="07A70A21" w:rsidR="27CCC8A4" w:rsidRPr="00D77028" w:rsidRDefault="002D3630" w:rsidP="27CCC8A4">
      <w:pPr>
        <w:pStyle w:val="NormalWeb"/>
        <w:rPr>
          <w:rFonts w:ascii="Century Gothic" w:eastAsiaTheme="minorEastAsia" w:hAnsi="Century Gothic" w:cstheme="minorBidi"/>
          <w:b/>
          <w:bCs/>
          <w:sz w:val="32"/>
          <w:szCs w:val="32"/>
        </w:rPr>
      </w:pPr>
      <w:r w:rsidRPr="00D77028">
        <w:rPr>
          <w:rFonts w:ascii="Century Gothic" w:eastAsiaTheme="minorEastAsia" w:hAnsi="Century Gothic" w:cstheme="minorBidi"/>
          <w:b/>
          <w:bCs/>
          <w:sz w:val="32"/>
          <w:szCs w:val="32"/>
        </w:rPr>
        <w:t>Template:</w:t>
      </w:r>
      <w:r w:rsidR="16440285" w:rsidRPr="00D77028">
        <w:rPr>
          <w:rFonts w:ascii="Century Gothic" w:eastAsiaTheme="minorEastAsia" w:hAnsi="Century Gothic" w:cstheme="minorBidi"/>
          <w:b/>
          <w:bCs/>
          <w:sz w:val="32"/>
          <w:szCs w:val="32"/>
        </w:rPr>
        <w:t xml:space="preserve"> </w:t>
      </w:r>
      <w:r w:rsidR="00865B56" w:rsidRPr="00D77028">
        <w:rPr>
          <w:rFonts w:ascii="Century Gothic" w:eastAsiaTheme="minorEastAsia" w:hAnsi="Century Gothic" w:cstheme="minorBidi"/>
          <w:b/>
          <w:bCs/>
          <w:sz w:val="32"/>
          <w:szCs w:val="32"/>
        </w:rPr>
        <w:t xml:space="preserve">Risk Assessment for </w:t>
      </w:r>
      <w:r w:rsidR="00AE42B5" w:rsidRPr="00D77028">
        <w:rPr>
          <w:rFonts w:ascii="Century Gothic" w:eastAsiaTheme="minorEastAsia" w:hAnsi="Century Gothic" w:cstheme="minorBidi"/>
          <w:b/>
          <w:bCs/>
          <w:sz w:val="32"/>
          <w:szCs w:val="32"/>
        </w:rPr>
        <w:t>Path</w:t>
      </w:r>
      <w:r w:rsidR="00767E22" w:rsidRPr="00D77028">
        <w:rPr>
          <w:rFonts w:ascii="Century Gothic" w:eastAsiaTheme="minorEastAsia" w:hAnsi="Century Gothic" w:cstheme="minorBidi"/>
          <w:b/>
          <w:bCs/>
          <w:sz w:val="32"/>
          <w:szCs w:val="32"/>
        </w:rPr>
        <w:t xml:space="preserve">ogens of Epidemiological Concern </w:t>
      </w:r>
    </w:p>
    <w:p w14:paraId="7638F757" w14:textId="6E5E61B2" w:rsidR="27CCC8A4" w:rsidRPr="00D77028" w:rsidRDefault="009E130E" w:rsidP="25A4866C">
      <w:pPr>
        <w:pStyle w:val="NormalWeb"/>
        <w:rPr>
          <w:rFonts w:ascii="Century Gothic" w:eastAsiaTheme="minorEastAsia" w:hAnsi="Century Gothic" w:cstheme="minorBidi"/>
        </w:rPr>
      </w:pPr>
      <w:r w:rsidRPr="00D77028">
        <w:rPr>
          <w:rFonts w:ascii="Century Gothic" w:eastAsiaTheme="minorEastAsia" w:hAnsi="Century Gothic" w:cstheme="minorBidi"/>
        </w:rPr>
        <w:t xml:space="preserve">Attached is </w:t>
      </w:r>
      <w:r w:rsidR="002C1056" w:rsidRPr="00D77028">
        <w:rPr>
          <w:rFonts w:ascii="Century Gothic" w:eastAsiaTheme="minorEastAsia" w:hAnsi="Century Gothic" w:cstheme="minorBidi"/>
        </w:rPr>
        <w:t xml:space="preserve">a risk assessment </w:t>
      </w:r>
      <w:r w:rsidRPr="00D77028">
        <w:rPr>
          <w:rFonts w:ascii="Century Gothic" w:eastAsiaTheme="minorEastAsia" w:hAnsi="Century Gothic" w:cstheme="minorBidi"/>
        </w:rPr>
        <w:t xml:space="preserve">template that </w:t>
      </w:r>
      <w:r w:rsidR="00E74966" w:rsidRPr="00D77028">
        <w:rPr>
          <w:rFonts w:ascii="Century Gothic" w:eastAsiaTheme="minorEastAsia" w:hAnsi="Century Gothic" w:cstheme="minorBidi"/>
        </w:rPr>
        <w:t xml:space="preserve">may be used as by a facility to </w:t>
      </w:r>
      <w:r w:rsidR="0031586C" w:rsidRPr="00D77028">
        <w:rPr>
          <w:rFonts w:ascii="Century Gothic" w:eastAsiaTheme="minorEastAsia" w:hAnsi="Century Gothic" w:cstheme="minorBidi"/>
        </w:rPr>
        <w:t>identify and stratify</w:t>
      </w:r>
      <w:r w:rsidR="00E74966" w:rsidRPr="00D77028">
        <w:rPr>
          <w:rFonts w:ascii="Century Gothic" w:eastAsiaTheme="minorEastAsia" w:hAnsi="Century Gothic" w:cstheme="minorBidi"/>
        </w:rPr>
        <w:t xml:space="preserve"> their </w:t>
      </w:r>
      <w:r w:rsidR="007552A8" w:rsidRPr="00D77028">
        <w:rPr>
          <w:rFonts w:ascii="Century Gothic" w:eastAsiaTheme="minorEastAsia" w:hAnsi="Century Gothic" w:cstheme="minorBidi"/>
        </w:rPr>
        <w:t>pathogens of epidemiological concern (PEC)</w:t>
      </w:r>
      <w:r w:rsidR="002C1056" w:rsidRPr="00D77028">
        <w:rPr>
          <w:rFonts w:ascii="Century Gothic" w:eastAsiaTheme="minorEastAsia" w:hAnsi="Century Gothic" w:cstheme="minorBidi"/>
        </w:rPr>
        <w:t>.</w:t>
      </w:r>
    </w:p>
    <w:p w14:paraId="0B82BDDA" w14:textId="12F88783" w:rsidR="27CCC8A4" w:rsidRPr="00D77028" w:rsidRDefault="27CCC8A4" w:rsidP="25A4866C">
      <w:pPr>
        <w:pStyle w:val="NormalWeb"/>
        <w:rPr>
          <w:rFonts w:ascii="Century Gothic" w:eastAsiaTheme="minorEastAsia" w:hAnsi="Century Gothic" w:cstheme="minorBidi"/>
          <w:b/>
          <w:bCs/>
          <w:color w:val="7030A0"/>
        </w:rPr>
      </w:pPr>
      <w:r w:rsidRPr="00D77028">
        <w:rPr>
          <w:rFonts w:ascii="Century Gothic" w:eastAsiaTheme="minorEastAsia" w:hAnsi="Century Gothic" w:cstheme="minorBidi"/>
          <w:b/>
          <w:bCs/>
        </w:rPr>
        <w:t>Instructions:</w:t>
      </w:r>
    </w:p>
    <w:p w14:paraId="687A4AC5" w14:textId="5A51EAE2" w:rsidR="16440285" w:rsidRPr="00D77028" w:rsidRDefault="25A4866C" w:rsidP="25A4866C">
      <w:pPr>
        <w:pStyle w:val="NormalWeb"/>
        <w:rPr>
          <w:rFonts w:ascii="Century Gothic" w:eastAsiaTheme="minorEastAsia" w:hAnsi="Century Gothic" w:cstheme="minorBidi"/>
        </w:rPr>
      </w:pPr>
      <w:r w:rsidRPr="00D77028">
        <w:rPr>
          <w:rFonts w:ascii="Century Gothic" w:eastAsiaTheme="minorEastAsia" w:hAnsi="Century Gothic" w:cstheme="minorBidi"/>
        </w:rPr>
        <w:t xml:space="preserve">Assign a risk score for each PEC, ranging from 0 to 3, in each of the four assessment categories.  Total the numbers in </w:t>
      </w:r>
      <w:r w:rsidR="00D77028" w:rsidRPr="00D77028">
        <w:rPr>
          <w:rFonts w:ascii="Century Gothic" w:eastAsiaTheme="minorEastAsia" w:hAnsi="Century Gothic" w:cstheme="minorBidi"/>
        </w:rPr>
        <w:t>all</w:t>
      </w:r>
      <w:r w:rsidR="00966BE4" w:rsidRPr="00D77028">
        <w:rPr>
          <w:rFonts w:ascii="Century Gothic" w:eastAsiaTheme="minorEastAsia" w:hAnsi="Century Gothic" w:cstheme="minorBidi"/>
        </w:rPr>
        <w:t xml:space="preserve"> </w:t>
      </w:r>
      <w:r w:rsidR="006D311E" w:rsidRPr="00D77028">
        <w:rPr>
          <w:rFonts w:ascii="Century Gothic" w:eastAsiaTheme="minorEastAsia" w:hAnsi="Century Gothic" w:cstheme="minorBidi"/>
        </w:rPr>
        <w:t>the</w:t>
      </w:r>
      <w:r w:rsidRPr="00D77028">
        <w:rPr>
          <w:rFonts w:ascii="Century Gothic" w:eastAsiaTheme="minorEastAsia" w:hAnsi="Century Gothic" w:cstheme="minorBidi"/>
        </w:rPr>
        <w:t xml:space="preserve"> assessment categories to determine the numerical risk level for each PEC</w:t>
      </w:r>
      <w:r w:rsidR="006D311E" w:rsidRPr="00D77028">
        <w:rPr>
          <w:rFonts w:ascii="Century Gothic" w:eastAsiaTheme="minorEastAsia" w:hAnsi="Century Gothic" w:cstheme="minorBidi"/>
        </w:rPr>
        <w:t xml:space="preserve"> (i.e., add or multiply </w:t>
      </w:r>
      <w:r w:rsidR="00B3598E" w:rsidRPr="00D77028">
        <w:rPr>
          <w:rFonts w:ascii="Century Gothic" w:eastAsiaTheme="minorEastAsia" w:hAnsi="Century Gothic" w:cstheme="minorBidi"/>
        </w:rPr>
        <w:t>the score for each section to calculate the numerical risk level)</w:t>
      </w:r>
      <w:r w:rsidRPr="00D77028">
        <w:rPr>
          <w:rFonts w:ascii="Century Gothic" w:eastAsiaTheme="minorEastAsia" w:hAnsi="Century Gothic" w:cstheme="minorBidi"/>
        </w:rPr>
        <w:t xml:space="preserve">. Rank the PECs from highest to lowest.  Pathogens with the highest risk score should be the highest priority for developing and updating strategies </w:t>
      </w:r>
      <w:r w:rsidR="00B3598E" w:rsidRPr="00D77028">
        <w:rPr>
          <w:rFonts w:ascii="Century Gothic" w:eastAsiaTheme="minorEastAsia" w:hAnsi="Century Gothic" w:cstheme="minorBidi"/>
        </w:rPr>
        <w:t xml:space="preserve">for </w:t>
      </w:r>
      <w:r w:rsidRPr="00D77028">
        <w:rPr>
          <w:rFonts w:ascii="Century Gothic" w:eastAsiaTheme="minorEastAsia" w:hAnsi="Century Gothic" w:cstheme="minorBidi"/>
        </w:rPr>
        <w:t>preventing transmission.</w:t>
      </w:r>
    </w:p>
    <w:p w14:paraId="7C0062F8" w14:textId="116FC361" w:rsidR="27CCC8A4" w:rsidRPr="00D77028" w:rsidRDefault="16440285" w:rsidP="0BB85E46">
      <w:pPr>
        <w:pStyle w:val="NormalWeb"/>
        <w:rPr>
          <w:rFonts w:ascii="Century Gothic" w:eastAsiaTheme="minorEastAsia" w:hAnsi="Century Gothic" w:cstheme="minorBidi"/>
        </w:rPr>
      </w:pPr>
      <w:r w:rsidRPr="00D77028">
        <w:rPr>
          <w:rFonts w:ascii="Century Gothic" w:eastAsiaTheme="minorEastAsia" w:hAnsi="Century Gothic" w:cstheme="minorBidi"/>
        </w:rPr>
        <w:t xml:space="preserve">Additionally, a gap analysis may be used to assess a facility’s preparedness for preventing transmission of PEC.  Please see the document </w:t>
      </w:r>
      <w:r w:rsidRPr="00D77028">
        <w:rPr>
          <w:rFonts w:ascii="Century Gothic" w:eastAsiaTheme="minorEastAsia" w:hAnsi="Century Gothic" w:cstheme="minorBidi"/>
          <w:i/>
          <w:iCs/>
        </w:rPr>
        <w:t xml:space="preserve">PEC Gap Analysis </w:t>
      </w:r>
      <w:r w:rsidRPr="00D77028">
        <w:rPr>
          <w:rFonts w:ascii="Century Gothic" w:eastAsiaTheme="minorEastAsia" w:hAnsi="Century Gothic" w:cstheme="minorBidi"/>
        </w:rPr>
        <w:t>as an example.</w:t>
      </w:r>
      <w:r w:rsidR="512B7621" w:rsidRPr="00D77028">
        <w:rPr>
          <w:rFonts w:ascii="Century Gothic" w:eastAsiaTheme="minorEastAsia" w:hAnsi="Century Gothic" w:cstheme="minorBidi"/>
        </w:rPr>
        <w:t xml:space="preserve"> </w:t>
      </w:r>
      <w:r w:rsidR="71A0EC1A" w:rsidRPr="00D77028">
        <w:rPr>
          <w:rFonts w:ascii="Century Gothic" w:eastAsiaTheme="minorEastAsia" w:hAnsi="Century Gothic" w:cstheme="minorBidi"/>
        </w:rPr>
        <w:t>Resources, including best practice guidance, for</w:t>
      </w:r>
      <w:r w:rsidR="505C036D" w:rsidRPr="00D77028">
        <w:rPr>
          <w:rFonts w:ascii="Century Gothic" w:eastAsiaTheme="minorEastAsia" w:hAnsi="Century Gothic" w:cstheme="minorBidi"/>
        </w:rPr>
        <w:t xml:space="preserve"> developing and improving</w:t>
      </w:r>
      <w:r w:rsidR="512B7621" w:rsidRPr="00D77028">
        <w:rPr>
          <w:rFonts w:ascii="Century Gothic" w:eastAsiaTheme="minorEastAsia" w:hAnsi="Century Gothic" w:cstheme="minorBidi"/>
        </w:rPr>
        <w:t xml:space="preserve"> strategies to prevent transmission of PE</w:t>
      </w:r>
      <w:r w:rsidR="49398C99" w:rsidRPr="00D77028">
        <w:rPr>
          <w:rFonts w:ascii="Century Gothic" w:eastAsiaTheme="minorEastAsia" w:hAnsi="Century Gothic" w:cstheme="minorBidi"/>
        </w:rPr>
        <w:t>C</w:t>
      </w:r>
      <w:r w:rsidR="7D9F5F57" w:rsidRPr="00D77028">
        <w:rPr>
          <w:rFonts w:ascii="Century Gothic" w:eastAsiaTheme="minorEastAsia" w:hAnsi="Century Gothic" w:cstheme="minorBidi"/>
        </w:rPr>
        <w:t xml:space="preserve"> </w:t>
      </w:r>
      <w:r w:rsidR="0BD5ADFD" w:rsidRPr="00D77028">
        <w:rPr>
          <w:rFonts w:ascii="Century Gothic" w:eastAsiaTheme="minorEastAsia" w:hAnsi="Century Gothic" w:cstheme="minorBidi"/>
        </w:rPr>
        <w:t>are in</w:t>
      </w:r>
      <w:r w:rsidR="7D9F5F57" w:rsidRPr="00D77028">
        <w:rPr>
          <w:rFonts w:ascii="Century Gothic" w:eastAsiaTheme="minorEastAsia" w:hAnsi="Century Gothic" w:cstheme="minorBidi"/>
        </w:rPr>
        <w:t xml:space="preserve"> the Resource</w:t>
      </w:r>
      <w:r w:rsidR="63D4679B" w:rsidRPr="00D77028">
        <w:rPr>
          <w:rFonts w:ascii="Century Gothic" w:eastAsiaTheme="minorEastAsia" w:hAnsi="Century Gothic" w:cstheme="minorBidi"/>
        </w:rPr>
        <w:t>s</w:t>
      </w:r>
      <w:r w:rsidR="7D9F5F57" w:rsidRPr="00D77028">
        <w:rPr>
          <w:rFonts w:ascii="Century Gothic" w:eastAsiaTheme="minorEastAsia" w:hAnsi="Century Gothic" w:cstheme="minorBidi"/>
        </w:rPr>
        <w:t xml:space="preserve"> section below.</w:t>
      </w:r>
      <w:r w:rsidR="512B7621" w:rsidRPr="00D77028">
        <w:rPr>
          <w:rFonts w:ascii="Century Gothic" w:eastAsiaTheme="minorEastAsia" w:hAnsi="Century Gothic" w:cstheme="minorBidi"/>
        </w:rPr>
        <w:t xml:space="preserve"> </w:t>
      </w:r>
    </w:p>
    <w:tbl>
      <w:tblPr>
        <w:tblStyle w:val="TableGrid"/>
        <w:tblW w:w="14601" w:type="dxa"/>
        <w:tblLook w:val="04A0" w:firstRow="1" w:lastRow="0" w:firstColumn="1" w:lastColumn="0" w:noHBand="0" w:noVBand="1"/>
      </w:tblPr>
      <w:tblGrid>
        <w:gridCol w:w="2640"/>
        <w:gridCol w:w="615"/>
        <w:gridCol w:w="705"/>
        <w:gridCol w:w="585"/>
        <w:gridCol w:w="677"/>
        <w:gridCol w:w="621"/>
        <w:gridCol w:w="623"/>
        <w:gridCol w:w="606"/>
        <w:gridCol w:w="705"/>
        <w:gridCol w:w="639"/>
        <w:gridCol w:w="651"/>
        <w:gridCol w:w="615"/>
        <w:gridCol w:w="705"/>
        <w:gridCol w:w="600"/>
        <w:gridCol w:w="705"/>
        <w:gridCol w:w="675"/>
        <w:gridCol w:w="930"/>
        <w:gridCol w:w="1304"/>
      </w:tblGrid>
      <w:tr w:rsidR="004E31C8" w14:paraId="01E7A8FB" w14:textId="77777777" w:rsidTr="0BB85E46">
        <w:tc>
          <w:tcPr>
            <w:tcW w:w="2640" w:type="dxa"/>
          </w:tcPr>
          <w:p w14:paraId="10E7834F" w14:textId="058A2554" w:rsidR="007F60B4" w:rsidRDefault="007F60B4" w:rsidP="27CCC8A4">
            <w:pPr>
              <w:jc w:val="center"/>
              <w:rPr>
                <w:sz w:val="24"/>
                <w:szCs w:val="24"/>
              </w:rPr>
            </w:pPr>
            <w:r w:rsidRPr="0BB85E46">
              <w:rPr>
                <w:sz w:val="24"/>
                <w:szCs w:val="24"/>
              </w:rPr>
              <w:t>Pathogen</w:t>
            </w:r>
            <w:r w:rsidR="00B3598E">
              <w:rPr>
                <w:sz w:val="24"/>
                <w:szCs w:val="24"/>
              </w:rPr>
              <w:t xml:space="preserve"> of Epidemiologic Concern (PEC)</w:t>
            </w:r>
          </w:p>
        </w:tc>
        <w:tc>
          <w:tcPr>
            <w:tcW w:w="2582" w:type="dxa"/>
            <w:gridSpan w:val="4"/>
          </w:tcPr>
          <w:p w14:paraId="466651B6" w14:textId="75EFBE4B" w:rsidR="007F60B4" w:rsidRDefault="7C2FC1F6" w:rsidP="27CCC8A4">
            <w:pPr>
              <w:jc w:val="center"/>
              <w:rPr>
                <w:sz w:val="24"/>
                <w:szCs w:val="24"/>
              </w:rPr>
            </w:pPr>
            <w:r w:rsidRPr="0BB85E46">
              <w:rPr>
                <w:sz w:val="24"/>
                <w:szCs w:val="24"/>
              </w:rPr>
              <w:t xml:space="preserve">The </w:t>
            </w:r>
            <w:r w:rsidR="007F60B4" w:rsidRPr="0BB85E46">
              <w:rPr>
                <w:sz w:val="24"/>
                <w:szCs w:val="24"/>
              </w:rPr>
              <w:t>potential impact of transmission on patient and staff</w:t>
            </w:r>
            <w:r w:rsidR="72FA97B8" w:rsidRPr="0BB85E46">
              <w:rPr>
                <w:sz w:val="24"/>
                <w:szCs w:val="24"/>
              </w:rPr>
              <w:t>.</w:t>
            </w:r>
          </w:p>
        </w:tc>
        <w:tc>
          <w:tcPr>
            <w:tcW w:w="2555" w:type="dxa"/>
            <w:gridSpan w:val="4"/>
          </w:tcPr>
          <w:p w14:paraId="1253E8B0" w14:textId="52771338" w:rsidR="007F60B4" w:rsidRDefault="72FA97B8" w:rsidP="27CCC8A4">
            <w:pPr>
              <w:jc w:val="center"/>
              <w:rPr>
                <w:sz w:val="24"/>
                <w:szCs w:val="24"/>
              </w:rPr>
            </w:pPr>
            <w:r w:rsidRPr="0BB85E46">
              <w:rPr>
                <w:sz w:val="24"/>
                <w:szCs w:val="24"/>
              </w:rPr>
              <w:t>T</w:t>
            </w:r>
            <w:r w:rsidR="007F60B4" w:rsidRPr="0BB85E46">
              <w:rPr>
                <w:sz w:val="24"/>
                <w:szCs w:val="24"/>
              </w:rPr>
              <w:t>he probability of transmission occurring</w:t>
            </w:r>
            <w:r w:rsidR="4129B48B" w:rsidRPr="0BB85E46">
              <w:rPr>
                <w:sz w:val="24"/>
                <w:szCs w:val="24"/>
              </w:rPr>
              <w:t>.</w:t>
            </w:r>
          </w:p>
        </w:tc>
        <w:tc>
          <w:tcPr>
            <w:tcW w:w="2610" w:type="dxa"/>
            <w:gridSpan w:val="4"/>
          </w:tcPr>
          <w:p w14:paraId="21FA82C0" w14:textId="71706096" w:rsidR="007F60B4" w:rsidRDefault="302ED11D" w:rsidP="27CCC8A4">
            <w:pPr>
              <w:jc w:val="center"/>
              <w:rPr>
                <w:sz w:val="24"/>
                <w:szCs w:val="24"/>
              </w:rPr>
            </w:pPr>
            <w:r w:rsidRPr="0BB85E46">
              <w:rPr>
                <w:sz w:val="24"/>
                <w:szCs w:val="24"/>
              </w:rPr>
              <w:t>T</w:t>
            </w:r>
            <w:r w:rsidR="09ACFCE6" w:rsidRPr="0BB85E46">
              <w:rPr>
                <w:sz w:val="24"/>
                <w:szCs w:val="24"/>
              </w:rPr>
              <w:t>he</w:t>
            </w:r>
            <w:r w:rsidR="007F60B4" w:rsidRPr="0BB85E46">
              <w:rPr>
                <w:sz w:val="24"/>
                <w:szCs w:val="24"/>
              </w:rPr>
              <w:t xml:space="preserve"> organization’s </w:t>
            </w:r>
            <w:r w:rsidR="0077171F" w:rsidRPr="0BB85E46">
              <w:rPr>
                <w:sz w:val="24"/>
                <w:szCs w:val="24"/>
              </w:rPr>
              <w:t xml:space="preserve">preparedness </w:t>
            </w:r>
            <w:r w:rsidR="007F60B4" w:rsidRPr="0BB85E46">
              <w:rPr>
                <w:sz w:val="24"/>
                <w:szCs w:val="24"/>
              </w:rPr>
              <w:t>to prevent transmission</w:t>
            </w:r>
            <w:r w:rsidR="69F9BED6" w:rsidRPr="0BB85E46">
              <w:rPr>
                <w:sz w:val="24"/>
                <w:szCs w:val="24"/>
              </w:rPr>
              <w:t>.</w:t>
            </w:r>
          </w:p>
        </w:tc>
        <w:tc>
          <w:tcPr>
            <w:tcW w:w="2910" w:type="dxa"/>
            <w:gridSpan w:val="4"/>
          </w:tcPr>
          <w:p w14:paraId="1C6FC15D" w14:textId="4250BAC6" w:rsidR="007F60B4" w:rsidRDefault="007F60B4" w:rsidP="27CCC8A4">
            <w:pPr>
              <w:jc w:val="center"/>
              <w:rPr>
                <w:sz w:val="24"/>
                <w:szCs w:val="24"/>
              </w:rPr>
            </w:pPr>
            <w:r w:rsidRPr="19DADB3F">
              <w:rPr>
                <w:sz w:val="24"/>
                <w:szCs w:val="24"/>
              </w:rPr>
              <w:t>Identified as a pathogen of epidemiological concern by agenc</w:t>
            </w:r>
            <w:r w:rsidR="1B4A0B47" w:rsidRPr="19DADB3F">
              <w:rPr>
                <w:sz w:val="24"/>
                <w:szCs w:val="24"/>
              </w:rPr>
              <w:t>y</w:t>
            </w:r>
          </w:p>
        </w:tc>
        <w:tc>
          <w:tcPr>
            <w:tcW w:w="1304" w:type="dxa"/>
          </w:tcPr>
          <w:p w14:paraId="130BC970" w14:textId="42F184D1" w:rsidR="007F60B4" w:rsidRDefault="004E31C8" w:rsidP="27CCC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r w:rsidR="007F60B4" w:rsidRPr="27CCC8A4">
              <w:rPr>
                <w:sz w:val="24"/>
                <w:szCs w:val="24"/>
              </w:rPr>
              <w:t>Numerical Risk Level</w:t>
            </w:r>
          </w:p>
        </w:tc>
      </w:tr>
      <w:tr w:rsidR="004E31C8" w14:paraId="769008FD" w14:textId="77777777" w:rsidTr="0BB85E46">
        <w:tc>
          <w:tcPr>
            <w:tcW w:w="2640" w:type="dxa"/>
          </w:tcPr>
          <w:p w14:paraId="7006560A" w14:textId="77777777" w:rsidR="27CCC8A4" w:rsidRDefault="27CCC8A4" w:rsidP="27CCC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6754C81D" w14:textId="77777777" w:rsidR="007F60B4" w:rsidRDefault="007F60B4" w:rsidP="27CCC8A4">
            <w:pPr>
              <w:jc w:val="center"/>
              <w:rPr>
                <w:sz w:val="20"/>
                <w:szCs w:val="20"/>
              </w:rPr>
            </w:pPr>
            <w:r w:rsidRPr="27CCC8A4">
              <w:rPr>
                <w:sz w:val="20"/>
                <w:szCs w:val="20"/>
              </w:rPr>
              <w:t>High (3)</w:t>
            </w:r>
          </w:p>
        </w:tc>
        <w:tc>
          <w:tcPr>
            <w:tcW w:w="705" w:type="dxa"/>
          </w:tcPr>
          <w:p w14:paraId="7EFFB78D" w14:textId="77777777" w:rsidR="007F60B4" w:rsidRDefault="007F60B4" w:rsidP="27CCC8A4">
            <w:pPr>
              <w:jc w:val="center"/>
              <w:rPr>
                <w:sz w:val="20"/>
                <w:szCs w:val="20"/>
              </w:rPr>
            </w:pPr>
            <w:r w:rsidRPr="27CCC8A4">
              <w:rPr>
                <w:sz w:val="20"/>
                <w:szCs w:val="20"/>
              </w:rPr>
              <w:t>Med (2)</w:t>
            </w:r>
          </w:p>
        </w:tc>
        <w:tc>
          <w:tcPr>
            <w:tcW w:w="585" w:type="dxa"/>
          </w:tcPr>
          <w:p w14:paraId="5C516F9B" w14:textId="77777777" w:rsidR="007F60B4" w:rsidRDefault="007F60B4" w:rsidP="27CCC8A4">
            <w:pPr>
              <w:jc w:val="center"/>
              <w:rPr>
                <w:sz w:val="20"/>
                <w:szCs w:val="20"/>
              </w:rPr>
            </w:pPr>
            <w:r w:rsidRPr="27CCC8A4">
              <w:rPr>
                <w:sz w:val="20"/>
                <w:szCs w:val="20"/>
              </w:rPr>
              <w:t>Low (1)</w:t>
            </w:r>
          </w:p>
        </w:tc>
        <w:tc>
          <w:tcPr>
            <w:tcW w:w="677" w:type="dxa"/>
          </w:tcPr>
          <w:p w14:paraId="37111FDF" w14:textId="77777777" w:rsidR="007F60B4" w:rsidRDefault="007F60B4" w:rsidP="27CCC8A4">
            <w:pPr>
              <w:jc w:val="center"/>
              <w:rPr>
                <w:sz w:val="20"/>
                <w:szCs w:val="20"/>
              </w:rPr>
            </w:pPr>
            <w:r w:rsidRPr="27CCC8A4">
              <w:rPr>
                <w:sz w:val="20"/>
                <w:szCs w:val="20"/>
              </w:rPr>
              <w:t>None (0)</w:t>
            </w:r>
          </w:p>
        </w:tc>
        <w:tc>
          <w:tcPr>
            <w:tcW w:w="621" w:type="dxa"/>
          </w:tcPr>
          <w:p w14:paraId="7557E130" w14:textId="77777777" w:rsidR="007F60B4" w:rsidRDefault="007F60B4" w:rsidP="27CCC8A4">
            <w:pPr>
              <w:jc w:val="center"/>
              <w:rPr>
                <w:sz w:val="24"/>
                <w:szCs w:val="24"/>
              </w:rPr>
            </w:pPr>
            <w:r w:rsidRPr="27CCC8A4">
              <w:rPr>
                <w:sz w:val="20"/>
                <w:szCs w:val="20"/>
              </w:rPr>
              <w:t>High (3)</w:t>
            </w:r>
          </w:p>
        </w:tc>
        <w:tc>
          <w:tcPr>
            <w:tcW w:w="623" w:type="dxa"/>
          </w:tcPr>
          <w:p w14:paraId="6C9B536D" w14:textId="77777777" w:rsidR="007F60B4" w:rsidRDefault="007F60B4" w:rsidP="27CCC8A4">
            <w:pPr>
              <w:jc w:val="center"/>
              <w:rPr>
                <w:sz w:val="24"/>
                <w:szCs w:val="24"/>
              </w:rPr>
            </w:pPr>
            <w:r w:rsidRPr="27CCC8A4">
              <w:rPr>
                <w:sz w:val="20"/>
                <w:szCs w:val="20"/>
              </w:rPr>
              <w:t>Med (2)</w:t>
            </w:r>
          </w:p>
        </w:tc>
        <w:tc>
          <w:tcPr>
            <w:tcW w:w="606" w:type="dxa"/>
          </w:tcPr>
          <w:p w14:paraId="36288334" w14:textId="77777777" w:rsidR="007F60B4" w:rsidRDefault="007F60B4" w:rsidP="27CCC8A4">
            <w:pPr>
              <w:jc w:val="center"/>
              <w:rPr>
                <w:sz w:val="24"/>
                <w:szCs w:val="24"/>
              </w:rPr>
            </w:pPr>
            <w:r w:rsidRPr="27CCC8A4">
              <w:rPr>
                <w:sz w:val="20"/>
                <w:szCs w:val="20"/>
              </w:rPr>
              <w:t>Low (1)</w:t>
            </w:r>
          </w:p>
        </w:tc>
        <w:tc>
          <w:tcPr>
            <w:tcW w:w="705" w:type="dxa"/>
          </w:tcPr>
          <w:p w14:paraId="48D272B3" w14:textId="77777777" w:rsidR="007F60B4" w:rsidRDefault="007F60B4" w:rsidP="27CCC8A4">
            <w:pPr>
              <w:jc w:val="center"/>
              <w:rPr>
                <w:sz w:val="24"/>
                <w:szCs w:val="24"/>
              </w:rPr>
            </w:pPr>
            <w:r w:rsidRPr="27CCC8A4">
              <w:rPr>
                <w:sz w:val="20"/>
                <w:szCs w:val="20"/>
              </w:rPr>
              <w:t>None (0)</w:t>
            </w:r>
          </w:p>
        </w:tc>
        <w:tc>
          <w:tcPr>
            <w:tcW w:w="639" w:type="dxa"/>
          </w:tcPr>
          <w:p w14:paraId="15CDBCFB" w14:textId="00F08EFD" w:rsidR="007F60B4" w:rsidRDefault="007F60B4" w:rsidP="27CCC8A4">
            <w:pPr>
              <w:jc w:val="center"/>
              <w:rPr>
                <w:sz w:val="24"/>
                <w:szCs w:val="24"/>
              </w:rPr>
            </w:pPr>
            <w:r w:rsidRPr="27CCC8A4">
              <w:rPr>
                <w:sz w:val="20"/>
                <w:szCs w:val="20"/>
              </w:rPr>
              <w:t>High (0)</w:t>
            </w:r>
          </w:p>
        </w:tc>
        <w:tc>
          <w:tcPr>
            <w:tcW w:w="651" w:type="dxa"/>
          </w:tcPr>
          <w:p w14:paraId="678D3667" w14:textId="73D92EA3" w:rsidR="007F60B4" w:rsidRDefault="007F60B4" w:rsidP="27CCC8A4">
            <w:pPr>
              <w:jc w:val="center"/>
              <w:rPr>
                <w:sz w:val="24"/>
                <w:szCs w:val="24"/>
              </w:rPr>
            </w:pPr>
            <w:r w:rsidRPr="27CCC8A4">
              <w:rPr>
                <w:sz w:val="20"/>
                <w:szCs w:val="20"/>
              </w:rPr>
              <w:t>Med (1)</w:t>
            </w:r>
          </w:p>
        </w:tc>
        <w:tc>
          <w:tcPr>
            <w:tcW w:w="615" w:type="dxa"/>
          </w:tcPr>
          <w:p w14:paraId="07EFA129" w14:textId="505650EB" w:rsidR="007F60B4" w:rsidRDefault="007F60B4" w:rsidP="27CCC8A4">
            <w:pPr>
              <w:jc w:val="center"/>
              <w:rPr>
                <w:sz w:val="24"/>
                <w:szCs w:val="24"/>
              </w:rPr>
            </w:pPr>
            <w:r w:rsidRPr="27CCC8A4">
              <w:rPr>
                <w:sz w:val="20"/>
                <w:szCs w:val="20"/>
              </w:rPr>
              <w:t>Low (2)</w:t>
            </w:r>
          </w:p>
        </w:tc>
        <w:tc>
          <w:tcPr>
            <w:tcW w:w="705" w:type="dxa"/>
          </w:tcPr>
          <w:p w14:paraId="527C0A81" w14:textId="54679B75" w:rsidR="007F60B4" w:rsidRDefault="007F60B4" w:rsidP="27CCC8A4">
            <w:pPr>
              <w:jc w:val="center"/>
              <w:rPr>
                <w:sz w:val="24"/>
                <w:szCs w:val="24"/>
              </w:rPr>
            </w:pPr>
            <w:r w:rsidRPr="27CCC8A4">
              <w:rPr>
                <w:sz w:val="20"/>
                <w:szCs w:val="20"/>
              </w:rPr>
              <w:t>None (3)</w:t>
            </w:r>
          </w:p>
        </w:tc>
        <w:tc>
          <w:tcPr>
            <w:tcW w:w="600" w:type="dxa"/>
          </w:tcPr>
          <w:p w14:paraId="2E1A2D28" w14:textId="77777777" w:rsidR="007F60B4" w:rsidRDefault="007F60B4" w:rsidP="27CCC8A4">
            <w:pPr>
              <w:jc w:val="center"/>
              <w:rPr>
                <w:sz w:val="24"/>
                <w:szCs w:val="24"/>
              </w:rPr>
            </w:pPr>
            <w:r w:rsidRPr="27CCC8A4">
              <w:rPr>
                <w:sz w:val="24"/>
                <w:szCs w:val="24"/>
              </w:rPr>
              <w:t>LHJ</w:t>
            </w:r>
          </w:p>
        </w:tc>
        <w:tc>
          <w:tcPr>
            <w:tcW w:w="705" w:type="dxa"/>
          </w:tcPr>
          <w:p w14:paraId="30F3CA6A" w14:textId="77777777" w:rsidR="007F60B4" w:rsidRDefault="007F60B4" w:rsidP="27CCC8A4">
            <w:pPr>
              <w:jc w:val="center"/>
              <w:rPr>
                <w:sz w:val="24"/>
                <w:szCs w:val="24"/>
              </w:rPr>
            </w:pPr>
            <w:r w:rsidRPr="27CCC8A4">
              <w:rPr>
                <w:sz w:val="24"/>
                <w:szCs w:val="24"/>
              </w:rPr>
              <w:t>DOH</w:t>
            </w:r>
          </w:p>
        </w:tc>
        <w:tc>
          <w:tcPr>
            <w:tcW w:w="675" w:type="dxa"/>
          </w:tcPr>
          <w:p w14:paraId="6CF78DF0" w14:textId="77777777" w:rsidR="007F60B4" w:rsidRDefault="007F60B4" w:rsidP="27CCC8A4">
            <w:pPr>
              <w:jc w:val="center"/>
              <w:rPr>
                <w:sz w:val="24"/>
                <w:szCs w:val="24"/>
              </w:rPr>
            </w:pPr>
            <w:r w:rsidRPr="27CCC8A4">
              <w:rPr>
                <w:sz w:val="24"/>
                <w:szCs w:val="24"/>
              </w:rPr>
              <w:t>CMS</w:t>
            </w:r>
          </w:p>
        </w:tc>
        <w:tc>
          <w:tcPr>
            <w:tcW w:w="930" w:type="dxa"/>
          </w:tcPr>
          <w:p w14:paraId="7FB54763" w14:textId="77777777" w:rsidR="007F60B4" w:rsidRDefault="007F60B4" w:rsidP="27CCC8A4">
            <w:pPr>
              <w:jc w:val="center"/>
              <w:rPr>
                <w:sz w:val="24"/>
                <w:szCs w:val="24"/>
              </w:rPr>
            </w:pPr>
            <w:r w:rsidRPr="27CCC8A4">
              <w:rPr>
                <w:sz w:val="24"/>
                <w:szCs w:val="24"/>
              </w:rPr>
              <w:t>Other</w:t>
            </w:r>
          </w:p>
        </w:tc>
        <w:tc>
          <w:tcPr>
            <w:tcW w:w="1304" w:type="dxa"/>
          </w:tcPr>
          <w:p w14:paraId="01334083" w14:textId="77777777" w:rsidR="27CCC8A4" w:rsidRDefault="27CCC8A4" w:rsidP="27CCC8A4">
            <w:pPr>
              <w:jc w:val="center"/>
              <w:rPr>
                <w:sz w:val="24"/>
                <w:szCs w:val="24"/>
              </w:rPr>
            </w:pPr>
          </w:p>
        </w:tc>
      </w:tr>
      <w:tr w:rsidR="004E31C8" w14:paraId="41B65356" w14:textId="77777777" w:rsidTr="0BB85E46">
        <w:tc>
          <w:tcPr>
            <w:tcW w:w="2640" w:type="dxa"/>
          </w:tcPr>
          <w:p w14:paraId="40B21B32" w14:textId="77777777" w:rsidR="27CCC8A4" w:rsidRDefault="27CCC8A4" w:rsidP="27CCC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572FFD9B" w14:textId="77777777" w:rsidR="27CCC8A4" w:rsidRDefault="27CCC8A4" w:rsidP="27CCC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6367AC83" w14:textId="77777777" w:rsidR="27CCC8A4" w:rsidRDefault="27CCC8A4" w:rsidP="27CCC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5D3BF06A" w14:textId="77777777" w:rsidR="27CCC8A4" w:rsidRDefault="27CCC8A4" w:rsidP="27CCC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7890921A" w14:textId="77777777" w:rsidR="27CCC8A4" w:rsidRDefault="27CCC8A4" w:rsidP="27CCC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1C7DE089" w14:textId="77777777" w:rsidR="27CCC8A4" w:rsidRDefault="27CCC8A4" w:rsidP="27CCC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72BDCCCE" w14:textId="77777777" w:rsidR="27CCC8A4" w:rsidRDefault="27CCC8A4" w:rsidP="27CCC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25D4A653" w14:textId="77777777" w:rsidR="27CCC8A4" w:rsidRDefault="27CCC8A4" w:rsidP="27CCC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75CA3CF" w14:textId="77777777" w:rsidR="27CCC8A4" w:rsidRDefault="27CCC8A4" w:rsidP="27CCC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14:paraId="56CEAD91" w14:textId="77777777" w:rsidR="27CCC8A4" w:rsidRDefault="27CCC8A4" w:rsidP="27CCC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14:paraId="3044ACA7" w14:textId="77777777" w:rsidR="27CCC8A4" w:rsidRDefault="27CCC8A4" w:rsidP="27CCC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50A3C7D6" w14:textId="77777777" w:rsidR="27CCC8A4" w:rsidRDefault="27CCC8A4" w:rsidP="27CCC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3189100" w14:textId="77777777" w:rsidR="27CCC8A4" w:rsidRDefault="27CCC8A4" w:rsidP="27CCC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14:paraId="5E43775D" w14:textId="77777777" w:rsidR="27CCC8A4" w:rsidRDefault="27CCC8A4" w:rsidP="27CCC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780120E" w14:textId="77777777" w:rsidR="27CCC8A4" w:rsidRDefault="27CCC8A4" w:rsidP="27CCC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2C530E88" w14:textId="77777777" w:rsidR="27CCC8A4" w:rsidRDefault="27CCC8A4" w:rsidP="27CCC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14:paraId="2D74F788" w14:textId="77777777" w:rsidR="27CCC8A4" w:rsidRDefault="27CCC8A4" w:rsidP="27CCC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5121DED" w14:textId="77777777" w:rsidR="27CCC8A4" w:rsidRDefault="27CCC8A4" w:rsidP="27CCC8A4">
            <w:pPr>
              <w:jc w:val="center"/>
              <w:rPr>
                <w:sz w:val="24"/>
                <w:szCs w:val="24"/>
              </w:rPr>
            </w:pPr>
          </w:p>
        </w:tc>
      </w:tr>
      <w:tr w:rsidR="004E31C8" w14:paraId="6D5EABE4" w14:textId="77777777" w:rsidTr="0BB85E46">
        <w:tc>
          <w:tcPr>
            <w:tcW w:w="2640" w:type="dxa"/>
          </w:tcPr>
          <w:p w14:paraId="35E8502E" w14:textId="7F03D94F" w:rsidR="16440285" w:rsidRDefault="16440285" w:rsidP="1644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4B5AE493" w14:textId="7A2B3898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5233BC75" w14:textId="176C10B0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00008ECF" w14:textId="047B67E9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5DE52300" w14:textId="5A237FBC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3E8895A8" w14:textId="2B68FB45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1C6B6485" w14:textId="0AB9D0C8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2F28AA5B" w14:textId="2AA3A81B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332A20F" w14:textId="22395020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14:paraId="741C00A5" w14:textId="41744E62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14:paraId="0C491E97" w14:textId="53AD11B3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594470C0" w14:textId="7DC54D9C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0AEF8DA" w14:textId="319CDD42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14:paraId="126CFCDD" w14:textId="3B00DCC9" w:rsidR="16440285" w:rsidRDefault="16440285" w:rsidP="1644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11BCA42D" w14:textId="554FF0F0" w:rsidR="16440285" w:rsidRDefault="16440285" w:rsidP="1644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3B830060" w14:textId="6A88E33D" w:rsidR="16440285" w:rsidRDefault="16440285" w:rsidP="1644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14:paraId="5C58C0E3" w14:textId="704729D7" w:rsidR="16440285" w:rsidRDefault="16440285" w:rsidP="1644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1261CF9A" w14:textId="25FA8132" w:rsidR="16440285" w:rsidRDefault="16440285" w:rsidP="16440285">
            <w:pPr>
              <w:jc w:val="center"/>
              <w:rPr>
                <w:sz w:val="24"/>
                <w:szCs w:val="24"/>
              </w:rPr>
            </w:pPr>
          </w:p>
        </w:tc>
      </w:tr>
      <w:tr w:rsidR="004E31C8" w14:paraId="105A8AE3" w14:textId="77777777" w:rsidTr="0BB85E46">
        <w:tc>
          <w:tcPr>
            <w:tcW w:w="2640" w:type="dxa"/>
          </w:tcPr>
          <w:p w14:paraId="44736C0A" w14:textId="5F616C16" w:rsidR="16440285" w:rsidRDefault="16440285" w:rsidP="1644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4DAE1BD1" w14:textId="7EBFEC93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4C091393" w14:textId="615035AD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705076EC" w14:textId="7E8EBAD4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40D0B758" w14:textId="082C46BB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464F0D57" w14:textId="157F466C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27E2CCB5" w14:textId="3E61B7E3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5A4AFB4B" w14:textId="5E5A458B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7701202" w14:textId="58828E0C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14:paraId="5BBC896F" w14:textId="317E9CBD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14:paraId="00148F08" w14:textId="7E558299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0644E335" w14:textId="302DFCA9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6E5B74F" w14:textId="2926A47D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14:paraId="408ED35A" w14:textId="39440A7B" w:rsidR="16440285" w:rsidRDefault="16440285" w:rsidP="1644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5851625" w14:textId="5D82FFED" w:rsidR="16440285" w:rsidRDefault="16440285" w:rsidP="1644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57C75A3A" w14:textId="3E6C6AFE" w:rsidR="16440285" w:rsidRDefault="16440285" w:rsidP="1644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14:paraId="74D64E57" w14:textId="15463602" w:rsidR="16440285" w:rsidRDefault="16440285" w:rsidP="1644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F0C1D00" w14:textId="671ED7E5" w:rsidR="16440285" w:rsidRDefault="16440285" w:rsidP="16440285">
            <w:pPr>
              <w:jc w:val="center"/>
              <w:rPr>
                <w:sz w:val="24"/>
                <w:szCs w:val="24"/>
              </w:rPr>
            </w:pPr>
          </w:p>
        </w:tc>
      </w:tr>
      <w:tr w:rsidR="004E31C8" w14:paraId="75F649FD" w14:textId="77777777" w:rsidTr="0BB85E46">
        <w:tc>
          <w:tcPr>
            <w:tcW w:w="2640" w:type="dxa"/>
          </w:tcPr>
          <w:p w14:paraId="0E3F8ADD" w14:textId="77777777" w:rsidR="00537A3C" w:rsidRDefault="00537A3C" w:rsidP="1644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36BF07B1" w14:textId="77777777" w:rsidR="00537A3C" w:rsidRDefault="00537A3C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5996EF1C" w14:textId="77777777" w:rsidR="00537A3C" w:rsidRDefault="00537A3C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0E5FEEE6" w14:textId="77777777" w:rsidR="00537A3C" w:rsidRDefault="00537A3C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115CAC59" w14:textId="77777777" w:rsidR="00537A3C" w:rsidRDefault="00537A3C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2B4C8E0D" w14:textId="77777777" w:rsidR="00537A3C" w:rsidRDefault="00537A3C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32F259A5" w14:textId="77777777" w:rsidR="00537A3C" w:rsidRDefault="00537A3C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1665EF61" w14:textId="77777777" w:rsidR="00537A3C" w:rsidRDefault="00537A3C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5F9D06F2" w14:textId="77777777" w:rsidR="00537A3C" w:rsidRDefault="00537A3C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14:paraId="26206049" w14:textId="77777777" w:rsidR="00537A3C" w:rsidRDefault="00537A3C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14:paraId="431A995A" w14:textId="77777777" w:rsidR="00537A3C" w:rsidRDefault="00537A3C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6E79DA73" w14:textId="77777777" w:rsidR="00537A3C" w:rsidRDefault="00537A3C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53BE55ED" w14:textId="77777777" w:rsidR="00537A3C" w:rsidRDefault="00537A3C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14:paraId="47F35185" w14:textId="77777777" w:rsidR="00537A3C" w:rsidRDefault="00537A3C" w:rsidP="1644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5C8B2EC9" w14:textId="77777777" w:rsidR="00537A3C" w:rsidRDefault="00537A3C" w:rsidP="1644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628EBC32" w14:textId="77777777" w:rsidR="00537A3C" w:rsidRDefault="00537A3C" w:rsidP="1644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14:paraId="18D6A894" w14:textId="77777777" w:rsidR="00537A3C" w:rsidRDefault="00537A3C" w:rsidP="1644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7E0DE425" w14:textId="77777777" w:rsidR="00537A3C" w:rsidRDefault="00537A3C" w:rsidP="16440285">
            <w:pPr>
              <w:jc w:val="center"/>
              <w:rPr>
                <w:sz w:val="24"/>
                <w:szCs w:val="24"/>
              </w:rPr>
            </w:pPr>
          </w:p>
        </w:tc>
      </w:tr>
      <w:tr w:rsidR="004E31C8" w14:paraId="3A828642" w14:textId="77777777" w:rsidTr="0BB85E46">
        <w:tc>
          <w:tcPr>
            <w:tcW w:w="2640" w:type="dxa"/>
          </w:tcPr>
          <w:p w14:paraId="22B6F141" w14:textId="1BF09A08" w:rsidR="16440285" w:rsidRDefault="16440285" w:rsidP="1644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690122C8" w14:textId="5390C458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A83A58F" w14:textId="21D8176B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2D925812" w14:textId="1716AA7D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097D789F" w14:textId="2B5511E7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30562A0A" w14:textId="5114E2FE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18491DDC" w14:textId="1D120297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60006FDC" w14:textId="4E0CD57E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3102513B" w14:textId="0456B8AF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14:paraId="5BA47449" w14:textId="35663F2B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14:paraId="3EFD61D4" w14:textId="1A8AA38C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2A3E7EE5" w14:textId="65663E1B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0CC2340" w14:textId="4EAFEE17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14:paraId="62D4B62F" w14:textId="0574F5B8" w:rsidR="16440285" w:rsidRDefault="16440285" w:rsidP="1644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16AA687" w14:textId="3D3CD2F6" w:rsidR="16440285" w:rsidRDefault="16440285" w:rsidP="1644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1ECE1CDC" w14:textId="3EEF36DD" w:rsidR="16440285" w:rsidRDefault="16440285" w:rsidP="1644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14:paraId="5FF59EA6" w14:textId="49AFB048" w:rsidR="16440285" w:rsidRDefault="16440285" w:rsidP="1644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1BD7B42D" w14:textId="50DCCA1E" w:rsidR="16440285" w:rsidRDefault="16440285" w:rsidP="16440285">
            <w:pPr>
              <w:jc w:val="center"/>
              <w:rPr>
                <w:sz w:val="24"/>
                <w:szCs w:val="24"/>
              </w:rPr>
            </w:pPr>
          </w:p>
        </w:tc>
      </w:tr>
      <w:tr w:rsidR="004E31C8" w14:paraId="1FF15743" w14:textId="77777777" w:rsidTr="0BB85E46">
        <w:tc>
          <w:tcPr>
            <w:tcW w:w="2640" w:type="dxa"/>
          </w:tcPr>
          <w:p w14:paraId="3374E82D" w14:textId="5225EEFD" w:rsidR="16440285" w:rsidRDefault="16440285" w:rsidP="1644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2906B9E6" w14:textId="03A25B47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154291A5" w14:textId="461C3830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20F6C739" w14:textId="6AE02061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016C9223" w14:textId="194C13C5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5051B404" w14:textId="1B109D01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32B94234" w14:textId="57C305AE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59D78470" w14:textId="1455D1F8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71241EA7" w14:textId="1CAEF8B7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14:paraId="27D3B56D" w14:textId="5B082EE2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14:paraId="5F111B2F" w14:textId="337AE8FE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17667314" w14:textId="3BD0CA02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23B43995" w14:textId="3E60721C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14:paraId="6B84C08D" w14:textId="127729D6" w:rsidR="16440285" w:rsidRDefault="16440285" w:rsidP="1644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4A831DAE" w14:textId="7EA34977" w:rsidR="16440285" w:rsidRDefault="16440285" w:rsidP="1644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2F757774" w14:textId="7317E668" w:rsidR="16440285" w:rsidRDefault="16440285" w:rsidP="1644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14:paraId="7FFD8C03" w14:textId="105BFCC6" w:rsidR="16440285" w:rsidRDefault="16440285" w:rsidP="1644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50BF8C78" w14:textId="56F2B2F5" w:rsidR="16440285" w:rsidRDefault="16440285" w:rsidP="16440285">
            <w:pPr>
              <w:jc w:val="center"/>
              <w:rPr>
                <w:sz w:val="24"/>
                <w:szCs w:val="24"/>
              </w:rPr>
            </w:pPr>
          </w:p>
        </w:tc>
      </w:tr>
      <w:tr w:rsidR="004E31C8" w14:paraId="05644058" w14:textId="77777777" w:rsidTr="0BB85E46">
        <w:tc>
          <w:tcPr>
            <w:tcW w:w="2640" w:type="dxa"/>
          </w:tcPr>
          <w:p w14:paraId="4CE25029" w14:textId="2B4F42C6" w:rsidR="16440285" w:rsidRDefault="16440285" w:rsidP="1644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086F4D49" w14:textId="481B1D8E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237D237" w14:textId="4C7B713F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14:paraId="394FB3BA" w14:textId="0515FA2C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14:paraId="1D749B95" w14:textId="78DEF96F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652898A8" w14:textId="05893253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53561F81" w14:textId="3DFFB0F0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14:paraId="04462891" w14:textId="0B4709FE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01A6A8DC" w14:textId="77B65922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14:paraId="608F4CA6" w14:textId="5454BAE1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14:paraId="62FFE4F9" w14:textId="4E3ECDCC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14:paraId="14814192" w14:textId="79BE0BFE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14:paraId="5E9A59DE" w14:textId="6A516AFA" w:rsidR="16440285" w:rsidRDefault="16440285" w:rsidP="1644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14:paraId="21E0105E" w14:textId="3DF1CAF3" w:rsidR="16440285" w:rsidRDefault="16440285" w:rsidP="1644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14:paraId="0BC1F857" w14:textId="2E03F472" w:rsidR="16440285" w:rsidRDefault="16440285" w:rsidP="1644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14:paraId="42FFA615" w14:textId="1DD5AD73" w:rsidR="16440285" w:rsidRDefault="16440285" w:rsidP="1644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14:paraId="218D109C" w14:textId="79E00653" w:rsidR="16440285" w:rsidRDefault="16440285" w:rsidP="1644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7AE3DBA6" w14:textId="41353281" w:rsidR="16440285" w:rsidRDefault="16440285" w:rsidP="16440285">
            <w:pPr>
              <w:jc w:val="center"/>
              <w:rPr>
                <w:sz w:val="24"/>
                <w:szCs w:val="24"/>
              </w:rPr>
            </w:pPr>
          </w:p>
        </w:tc>
      </w:tr>
      <w:tr w:rsidR="27CCC8A4" w14:paraId="18559D96" w14:textId="77777777" w:rsidTr="0BB85E46">
        <w:tc>
          <w:tcPr>
            <w:tcW w:w="14601" w:type="dxa"/>
            <w:gridSpan w:val="18"/>
          </w:tcPr>
          <w:p w14:paraId="5729718B" w14:textId="0AD67105" w:rsidR="25FC6C80" w:rsidRDefault="0A76AB18" w:rsidP="005B16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BB85E46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The Risk Assessment is an ongoing</w:t>
            </w:r>
            <w:r w:rsidR="277F6FD0" w:rsidRPr="0BB85E46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BB85E46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process and should be updated at least annually. </w:t>
            </w:r>
          </w:p>
          <w:p w14:paraId="39200832" w14:textId="77777777" w:rsidR="005B16F2" w:rsidRDefault="005B16F2" w:rsidP="005B16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  <w:p w14:paraId="05F12970" w14:textId="77777777" w:rsidR="00D77028" w:rsidRPr="008F5B93" w:rsidRDefault="074D9540" w:rsidP="005B16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8F5B93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Numerical Risk Level Total:</w:t>
            </w:r>
          </w:p>
          <w:p w14:paraId="18E50CF6" w14:textId="77777777" w:rsidR="005B16F2" w:rsidRDefault="25FC6C80" w:rsidP="005B16F2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27CCC8A4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Zero</w:t>
            </w:r>
            <w:r w:rsidRPr="27CCC8A4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- Process has been going well</w:t>
            </w:r>
            <w:r w:rsidR="00D33A0E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.</w:t>
            </w:r>
          </w:p>
          <w:p w14:paraId="75B54A1A" w14:textId="6969BF84" w:rsidR="25FC6C80" w:rsidRPr="00D77028" w:rsidRDefault="25FC6C80" w:rsidP="005B16F2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27CCC8A4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Low or 1</w:t>
            </w:r>
            <w:r w:rsidRPr="27CCC8A4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- Processes are initiated and being followed</w:t>
            </w:r>
            <w:r w:rsidR="00D33A0E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.</w:t>
            </w:r>
          </w:p>
          <w:p w14:paraId="29164E91" w14:textId="6A79A5B8" w:rsidR="25FC6C80" w:rsidRDefault="0A76AB18" w:rsidP="005B16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BB85E46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Med or 2</w:t>
            </w:r>
            <w:r w:rsidRPr="0BB85E46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-The processes in place are working well and the outcomes are improving or sustained.</w:t>
            </w:r>
          </w:p>
          <w:p w14:paraId="595FA792" w14:textId="2B876AF5" w:rsidR="27CCC8A4" w:rsidRPr="00D77028" w:rsidRDefault="0A76AB18" w:rsidP="005B16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BB85E46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High or 3</w:t>
            </w:r>
            <w:r w:rsidRPr="0BB85E46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- Process needs attention. Training or education may be needed.</w:t>
            </w:r>
          </w:p>
        </w:tc>
      </w:tr>
    </w:tbl>
    <w:p w14:paraId="5AF0715A" w14:textId="1662B103" w:rsidR="27CCC8A4" w:rsidRDefault="27CCC8A4" w:rsidP="27CCC8A4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1A890DC1" w14:textId="38BF1CF6" w:rsidR="002C1056" w:rsidRPr="00D77028" w:rsidRDefault="002C1056" w:rsidP="0BB85E46">
      <w:pPr>
        <w:pStyle w:val="NormalWeb"/>
        <w:rPr>
          <w:rFonts w:ascii="Century Gothic" w:eastAsia="Calibri" w:hAnsi="Century Gothic" w:cs="Calibri"/>
          <w:b/>
          <w:bCs/>
        </w:rPr>
      </w:pPr>
      <w:r w:rsidRPr="00D77028">
        <w:rPr>
          <w:rFonts w:ascii="Century Gothic" w:eastAsia="Calibri" w:hAnsi="Century Gothic" w:cs="Calibri"/>
          <w:b/>
          <w:bCs/>
        </w:rPr>
        <w:lastRenderedPageBreak/>
        <w:t>Def</w:t>
      </w:r>
      <w:r w:rsidR="002857ED" w:rsidRPr="00D77028">
        <w:rPr>
          <w:rFonts w:ascii="Century Gothic" w:eastAsia="Calibri" w:hAnsi="Century Gothic" w:cs="Calibri"/>
          <w:b/>
          <w:bCs/>
        </w:rPr>
        <w:t xml:space="preserve">inition of </w:t>
      </w:r>
      <w:r w:rsidR="1E010CE5" w:rsidRPr="00D77028">
        <w:rPr>
          <w:rFonts w:ascii="Century Gothic" w:eastAsia="Calibri" w:hAnsi="Century Gothic" w:cs="Calibri"/>
          <w:b/>
          <w:bCs/>
        </w:rPr>
        <w:t>C</w:t>
      </w:r>
      <w:r w:rsidR="002857ED" w:rsidRPr="00D77028">
        <w:rPr>
          <w:rFonts w:ascii="Century Gothic" w:eastAsia="Calibri" w:hAnsi="Century Gothic" w:cs="Calibri"/>
          <w:b/>
          <w:bCs/>
        </w:rPr>
        <w:t xml:space="preserve">ategories: </w:t>
      </w:r>
    </w:p>
    <w:p w14:paraId="200DBE92" w14:textId="03AB69DD" w:rsidR="002857ED" w:rsidRPr="00D77028" w:rsidRDefault="002857ED" w:rsidP="0BB85E46">
      <w:pPr>
        <w:pStyle w:val="NormalWeb"/>
        <w:rPr>
          <w:rFonts w:ascii="Century Gothic" w:eastAsia="Calibri" w:hAnsi="Century Gothic" w:cs="Calibri"/>
        </w:rPr>
      </w:pPr>
      <w:r w:rsidRPr="00D77028">
        <w:rPr>
          <w:rFonts w:ascii="Century Gothic" w:eastAsia="Calibri" w:hAnsi="Century Gothic" w:cs="Calibri"/>
          <w:b/>
          <w:bCs/>
        </w:rPr>
        <w:t>What is the</w:t>
      </w:r>
      <w:r w:rsidR="00E13B15" w:rsidRPr="00D77028">
        <w:rPr>
          <w:rFonts w:ascii="Century Gothic" w:eastAsia="Calibri" w:hAnsi="Century Gothic" w:cs="Calibri"/>
          <w:b/>
          <w:bCs/>
        </w:rPr>
        <w:t xml:space="preserve"> potential impact of transmission o</w:t>
      </w:r>
      <w:r w:rsidR="007F60B4" w:rsidRPr="00D77028">
        <w:rPr>
          <w:rFonts w:ascii="Century Gothic" w:eastAsia="Calibri" w:hAnsi="Century Gothic" w:cs="Calibri"/>
          <w:b/>
          <w:bCs/>
        </w:rPr>
        <w:t>f</w:t>
      </w:r>
      <w:r w:rsidR="00E13B15" w:rsidRPr="00D77028">
        <w:rPr>
          <w:rFonts w:ascii="Century Gothic" w:eastAsia="Calibri" w:hAnsi="Century Gothic" w:cs="Calibri"/>
          <w:b/>
          <w:bCs/>
        </w:rPr>
        <w:t xml:space="preserve"> patient and staff</w:t>
      </w:r>
      <w:r w:rsidR="00B5545A" w:rsidRPr="00D77028">
        <w:rPr>
          <w:rFonts w:ascii="Century Gothic" w:eastAsia="Calibri" w:hAnsi="Century Gothic" w:cs="Calibri"/>
          <w:b/>
          <w:bCs/>
        </w:rPr>
        <w:t xml:space="preserve">: </w:t>
      </w:r>
      <w:r w:rsidR="00B5545A" w:rsidRPr="00D77028">
        <w:rPr>
          <w:rFonts w:ascii="Century Gothic" w:eastAsia="Calibri" w:hAnsi="Century Gothic" w:cs="Calibri"/>
        </w:rPr>
        <w:t>Determined by evaluating the potential for 1) patient i</w:t>
      </w:r>
      <w:r w:rsidR="00F31110" w:rsidRPr="00D77028">
        <w:rPr>
          <w:rFonts w:ascii="Century Gothic" w:eastAsia="Calibri" w:hAnsi="Century Gothic" w:cs="Calibri"/>
        </w:rPr>
        <w:t>nfection</w:t>
      </w:r>
      <w:r w:rsidR="00631DA5" w:rsidRPr="00D77028">
        <w:rPr>
          <w:rFonts w:ascii="Century Gothic" w:eastAsia="Calibri" w:hAnsi="Century Gothic" w:cs="Calibri"/>
        </w:rPr>
        <w:t xml:space="preserve">, illness, death, and need for </w:t>
      </w:r>
      <w:r w:rsidR="00DE1EAB" w:rsidRPr="00D77028">
        <w:rPr>
          <w:rFonts w:ascii="Century Gothic" w:eastAsia="Calibri" w:hAnsi="Century Gothic" w:cs="Calibri"/>
        </w:rPr>
        <w:t>medical intervention; 2) perso</w:t>
      </w:r>
      <w:r w:rsidR="00F16B02" w:rsidRPr="00D77028">
        <w:rPr>
          <w:rFonts w:ascii="Century Gothic" w:eastAsia="Calibri" w:hAnsi="Century Gothic" w:cs="Calibri"/>
        </w:rPr>
        <w:t xml:space="preserve">nnel infection, illness, staff shortage, </w:t>
      </w:r>
      <w:r w:rsidR="286E02E2" w:rsidRPr="00D77028">
        <w:rPr>
          <w:rFonts w:ascii="Century Gothic" w:eastAsia="Calibri" w:hAnsi="Century Gothic" w:cs="Calibri"/>
        </w:rPr>
        <w:t>and</w:t>
      </w:r>
      <w:r w:rsidR="00F16B02" w:rsidRPr="00D77028">
        <w:rPr>
          <w:rFonts w:ascii="Century Gothic" w:eastAsia="Calibri" w:hAnsi="Century Gothic" w:cs="Calibri"/>
        </w:rPr>
        <w:t xml:space="preserve"> 3) impact </w:t>
      </w:r>
      <w:r w:rsidR="0045463A" w:rsidRPr="00D77028">
        <w:rPr>
          <w:rFonts w:ascii="Century Gothic" w:eastAsia="Calibri" w:hAnsi="Century Gothic" w:cs="Calibri"/>
        </w:rPr>
        <w:t>on the organization’s ability to function, provide safe patient care, and remain open.</w:t>
      </w:r>
    </w:p>
    <w:p w14:paraId="63050733" w14:textId="51B65A7E" w:rsidR="0045463A" w:rsidRPr="00D77028" w:rsidRDefault="2E54C446" w:rsidP="0BB85E46">
      <w:pPr>
        <w:pStyle w:val="NormalWeb"/>
        <w:rPr>
          <w:rFonts w:ascii="Century Gothic" w:eastAsia="Calibri" w:hAnsi="Century Gothic" w:cs="Calibri"/>
        </w:rPr>
      </w:pPr>
      <w:r w:rsidRPr="00D77028">
        <w:rPr>
          <w:rFonts w:ascii="Century Gothic" w:eastAsia="Calibri" w:hAnsi="Century Gothic" w:cs="Calibri"/>
          <w:b/>
          <w:bCs/>
        </w:rPr>
        <w:t xml:space="preserve">What is the </w:t>
      </w:r>
      <w:r w:rsidR="084C55A6" w:rsidRPr="00D77028">
        <w:rPr>
          <w:rFonts w:ascii="Century Gothic" w:eastAsia="Calibri" w:hAnsi="Century Gothic" w:cs="Calibri"/>
          <w:b/>
          <w:bCs/>
        </w:rPr>
        <w:t xml:space="preserve">probability of transmission occurring: </w:t>
      </w:r>
      <w:r w:rsidR="084C55A6" w:rsidRPr="00D77028">
        <w:rPr>
          <w:rFonts w:ascii="Century Gothic" w:eastAsia="Calibri" w:hAnsi="Century Gothic" w:cs="Calibri"/>
        </w:rPr>
        <w:t xml:space="preserve">Determined by evaluating the risk of the </w:t>
      </w:r>
      <w:r w:rsidR="117B5CE6" w:rsidRPr="00D77028">
        <w:rPr>
          <w:rFonts w:ascii="Century Gothic" w:eastAsia="Calibri" w:hAnsi="Century Gothic" w:cs="Calibri"/>
        </w:rPr>
        <w:t xml:space="preserve">pathogen actually </w:t>
      </w:r>
      <w:r w:rsidR="3BE363C5" w:rsidRPr="00D77028">
        <w:rPr>
          <w:rFonts w:ascii="Century Gothic" w:eastAsia="Calibri" w:hAnsi="Century Gothic" w:cs="Calibri"/>
        </w:rPr>
        <w:t xml:space="preserve">being identified and transmission actually occurring, </w:t>
      </w:r>
      <w:r w:rsidR="11343E5F" w:rsidRPr="00D77028">
        <w:rPr>
          <w:rFonts w:ascii="Century Gothic" w:eastAsia="Calibri" w:hAnsi="Century Gothic" w:cs="Calibri"/>
        </w:rPr>
        <w:t>including</w:t>
      </w:r>
      <w:r w:rsidR="1548175D" w:rsidRPr="00D77028">
        <w:rPr>
          <w:rFonts w:ascii="Century Gothic" w:eastAsia="Calibri" w:hAnsi="Century Gothic" w:cs="Calibri"/>
        </w:rPr>
        <w:t xml:space="preserve"> surveillance data, scope of services provided by the facility, prevalence in the community, prevalence in newly admitted patients, </w:t>
      </w:r>
      <w:r w:rsidR="0D8614D0" w:rsidRPr="00D77028">
        <w:rPr>
          <w:rFonts w:ascii="Century Gothic" w:eastAsia="Calibri" w:hAnsi="Century Gothic" w:cs="Calibri"/>
        </w:rPr>
        <w:t>environment</w:t>
      </w:r>
      <w:r w:rsidR="6DC05F03" w:rsidRPr="00D77028">
        <w:rPr>
          <w:rFonts w:ascii="Century Gothic" w:eastAsia="Calibri" w:hAnsi="Century Gothic" w:cs="Calibri"/>
        </w:rPr>
        <w:t xml:space="preserve"> of care </w:t>
      </w:r>
      <w:r w:rsidR="0D8614D0" w:rsidRPr="00D77028">
        <w:rPr>
          <w:rFonts w:ascii="Century Gothic" w:eastAsia="Calibri" w:hAnsi="Century Gothic" w:cs="Calibri"/>
        </w:rPr>
        <w:t>conditions, patient population, mode of transmission, and virulence of pathogen.</w:t>
      </w:r>
    </w:p>
    <w:p w14:paraId="4D2CEC25" w14:textId="30B2AC45" w:rsidR="0077171F" w:rsidRPr="00D77028" w:rsidRDefault="0077171F" w:rsidP="0BB85E46">
      <w:pPr>
        <w:pStyle w:val="NormalWeb"/>
        <w:rPr>
          <w:rFonts w:ascii="Century Gothic" w:eastAsia="Calibri" w:hAnsi="Century Gothic" w:cs="Calibri"/>
        </w:rPr>
      </w:pPr>
      <w:r w:rsidRPr="00D77028">
        <w:rPr>
          <w:rFonts w:ascii="Century Gothic" w:eastAsia="Calibri" w:hAnsi="Century Gothic" w:cs="Calibri"/>
          <w:b/>
          <w:bCs/>
        </w:rPr>
        <w:t>Organization’s preparedness to deal with this pathogen</w:t>
      </w:r>
      <w:r w:rsidR="00306FE8" w:rsidRPr="00D77028">
        <w:rPr>
          <w:rFonts w:ascii="Century Gothic" w:eastAsia="Calibri" w:hAnsi="Century Gothic" w:cs="Calibri"/>
          <w:b/>
          <w:bCs/>
        </w:rPr>
        <w:t xml:space="preserve">: </w:t>
      </w:r>
      <w:r w:rsidR="00D10FA9" w:rsidRPr="00D77028">
        <w:rPr>
          <w:rFonts w:ascii="Century Gothic" w:eastAsia="Calibri" w:hAnsi="Century Gothic" w:cs="Calibri"/>
        </w:rPr>
        <w:t>Determined by considering policies and procedures already in place, staff experience, historical response to similar situations</w:t>
      </w:r>
      <w:r w:rsidR="00FE12C7" w:rsidRPr="00D77028">
        <w:rPr>
          <w:rFonts w:ascii="Century Gothic" w:eastAsia="Calibri" w:hAnsi="Century Gothic" w:cs="Calibri"/>
        </w:rPr>
        <w:t>, and availability of, PPE, isolation rooms, staff, cleaning and disinfection agents, and equipment</w:t>
      </w:r>
    </w:p>
    <w:p w14:paraId="0EAD869E" w14:textId="0C8D32CA" w:rsidR="00911524" w:rsidRPr="00D77028" w:rsidRDefault="00911524" w:rsidP="0BB85E46">
      <w:pPr>
        <w:pStyle w:val="NormalWeb"/>
        <w:spacing w:before="0" w:beforeAutospacing="0" w:after="0" w:afterAutospacing="0"/>
        <w:rPr>
          <w:rFonts w:ascii="Century Gothic" w:eastAsia="Calibri" w:hAnsi="Century Gothic" w:cs="Calibri"/>
          <w:b/>
          <w:bCs/>
          <w:color w:val="000000"/>
        </w:rPr>
      </w:pPr>
    </w:p>
    <w:p w14:paraId="6EB0EB99" w14:textId="28252C81" w:rsidR="740C9A4E" w:rsidRPr="00D77028" w:rsidRDefault="740C9A4E" w:rsidP="0BB85E46">
      <w:pPr>
        <w:pStyle w:val="NormalWeb"/>
        <w:spacing w:before="0" w:beforeAutospacing="0" w:after="0" w:afterAutospacing="0"/>
        <w:rPr>
          <w:rFonts w:ascii="Century Gothic" w:eastAsia="Calibri" w:hAnsi="Century Gothic" w:cs="Calibri"/>
          <w:b/>
          <w:bCs/>
          <w:color w:val="000000" w:themeColor="text1"/>
        </w:rPr>
      </w:pPr>
      <w:r w:rsidRPr="00D77028">
        <w:rPr>
          <w:rFonts w:ascii="Century Gothic" w:eastAsia="Calibri" w:hAnsi="Century Gothic" w:cs="Calibri"/>
          <w:b/>
          <w:bCs/>
          <w:color w:val="000000" w:themeColor="text1"/>
        </w:rPr>
        <w:t xml:space="preserve">References for </w:t>
      </w:r>
      <w:r w:rsidR="348A7141" w:rsidRPr="00D77028">
        <w:rPr>
          <w:rFonts w:ascii="Century Gothic" w:eastAsia="Calibri" w:hAnsi="Century Gothic" w:cs="Calibri"/>
          <w:b/>
          <w:bCs/>
          <w:color w:val="000000" w:themeColor="text1"/>
        </w:rPr>
        <w:t>Risk Assessment T</w:t>
      </w:r>
      <w:r w:rsidRPr="00D77028">
        <w:rPr>
          <w:rFonts w:ascii="Century Gothic" w:eastAsia="Calibri" w:hAnsi="Century Gothic" w:cs="Calibri"/>
          <w:b/>
          <w:bCs/>
          <w:color w:val="000000" w:themeColor="text1"/>
        </w:rPr>
        <w:t>emplate:</w:t>
      </w:r>
    </w:p>
    <w:p w14:paraId="2E054E68" w14:textId="1C9DAD32" w:rsidR="00911524" w:rsidRPr="00D77028" w:rsidRDefault="00911524" w:rsidP="0BB85E46">
      <w:pPr>
        <w:pStyle w:val="NormalWeb"/>
        <w:spacing w:before="0" w:beforeAutospacing="0" w:after="0" w:afterAutospacing="0"/>
        <w:rPr>
          <w:rFonts w:ascii="Century Gothic" w:eastAsia="Calibri" w:hAnsi="Century Gothic" w:cs="Calibri"/>
          <w:color w:val="000000"/>
        </w:rPr>
      </w:pPr>
    </w:p>
    <w:p w14:paraId="680A2097" w14:textId="630ECFD4" w:rsidR="00911524" w:rsidRPr="00D77028" w:rsidRDefault="251C7854" w:rsidP="0BB85E46">
      <w:pPr>
        <w:pStyle w:val="NormalWeb"/>
        <w:spacing w:before="0" w:beforeAutospacing="0" w:after="0" w:afterAutospacing="0"/>
        <w:rPr>
          <w:rFonts w:ascii="Century Gothic" w:eastAsia="Calibri" w:hAnsi="Century Gothic" w:cs="Calibri"/>
        </w:rPr>
      </w:pPr>
      <w:r w:rsidRPr="00D77028">
        <w:rPr>
          <w:rFonts w:ascii="Century Gothic" w:eastAsia="Calibri" w:hAnsi="Century Gothic" w:cs="Calibri"/>
        </w:rPr>
        <w:t xml:space="preserve">K. Arias, M. Patrick, K Delahanty and S. </w:t>
      </w:r>
      <w:proofErr w:type="spellStart"/>
      <w:r w:rsidRPr="00D77028">
        <w:rPr>
          <w:rFonts w:ascii="Century Gothic" w:eastAsia="Calibri" w:hAnsi="Century Gothic" w:cs="Calibri"/>
        </w:rPr>
        <w:t>Odachowski</w:t>
      </w:r>
      <w:proofErr w:type="spellEnd"/>
      <w:r w:rsidRPr="00D77028">
        <w:rPr>
          <w:rFonts w:ascii="Century Gothic" w:eastAsia="Calibri" w:hAnsi="Century Gothic" w:cs="Calibri"/>
        </w:rPr>
        <w:t>.</w:t>
      </w:r>
      <w:r w:rsidR="268BBB84" w:rsidRPr="00D77028">
        <w:rPr>
          <w:rFonts w:ascii="Century Gothic" w:eastAsia="Calibri" w:hAnsi="Century Gothic" w:cs="Calibri"/>
        </w:rPr>
        <w:t xml:space="preserve"> ” Risk</w:t>
      </w:r>
      <w:r w:rsidRPr="00D77028">
        <w:rPr>
          <w:rFonts w:ascii="Century Gothic" w:eastAsia="Calibri" w:hAnsi="Century Gothic" w:cs="Calibri"/>
        </w:rPr>
        <w:t xml:space="preserve"> Assessment for Infection Surveillance, Prevention</w:t>
      </w:r>
      <w:r w:rsidR="3CAD39BA" w:rsidRPr="00D77028">
        <w:rPr>
          <w:rFonts w:ascii="Century Gothic" w:eastAsia="Calibri" w:hAnsi="Century Gothic" w:cs="Calibri"/>
        </w:rPr>
        <w:t xml:space="preserve"> and Control Programs in Ambulatory Healthcare Settings” available online at: </w:t>
      </w:r>
      <w:hyperlink r:id="rId11">
        <w:r w:rsidR="00911524" w:rsidRPr="00D77028">
          <w:rPr>
            <w:rStyle w:val="Hyperlink"/>
            <w:rFonts w:ascii="Century Gothic" w:eastAsia="Calibri" w:hAnsi="Century Gothic" w:cs="Calibri"/>
          </w:rPr>
          <w:t>ASC_Risk_Assessment_Template.docx (live.com)</w:t>
        </w:r>
      </w:hyperlink>
    </w:p>
    <w:p w14:paraId="507B10C8" w14:textId="5125B415" w:rsidR="2625FAF8" w:rsidRPr="00D77028" w:rsidRDefault="2625FAF8" w:rsidP="0BB85E46">
      <w:pPr>
        <w:pStyle w:val="NormalWeb"/>
        <w:spacing w:before="0" w:beforeAutospacing="0" w:after="0" w:afterAutospacing="0"/>
        <w:rPr>
          <w:rFonts w:ascii="Century Gothic" w:eastAsia="Calibri" w:hAnsi="Century Gothic" w:cs="Calibri"/>
        </w:rPr>
      </w:pPr>
    </w:p>
    <w:p w14:paraId="594FE177" w14:textId="1D608597" w:rsidR="00003254" w:rsidRPr="00D77028" w:rsidRDefault="003E4318" w:rsidP="0BB85E46">
      <w:pPr>
        <w:pStyle w:val="NormalWeb"/>
        <w:spacing w:before="0" w:beforeAutospacing="0" w:after="0" w:afterAutospacing="0"/>
        <w:rPr>
          <w:rFonts w:ascii="Century Gothic" w:eastAsia="Calibri" w:hAnsi="Century Gothic" w:cs="Calibri"/>
          <w:color w:val="000000"/>
        </w:rPr>
      </w:pPr>
      <w:hyperlink r:id="rId12">
        <w:r w:rsidR="00003254" w:rsidRPr="00D77028">
          <w:rPr>
            <w:rStyle w:val="Hyperlink"/>
            <w:rFonts w:ascii="Century Gothic" w:eastAsia="Calibri" w:hAnsi="Century Gothic" w:cs="Calibri"/>
          </w:rPr>
          <w:t>Risk_Assessment_Example_2.docx (live.com)</w:t>
        </w:r>
      </w:hyperlink>
    </w:p>
    <w:p w14:paraId="7CB3F459" w14:textId="3678A133" w:rsidR="001A6179" w:rsidRPr="00D77028" w:rsidRDefault="001A6179" w:rsidP="0BB85E46">
      <w:pPr>
        <w:jc w:val="center"/>
        <w:rPr>
          <w:rFonts w:ascii="Century Gothic" w:eastAsia="Calibri" w:hAnsi="Century Gothic" w:cs="Calibri"/>
          <w:b/>
          <w:bCs/>
          <w:sz w:val="32"/>
          <w:szCs w:val="32"/>
        </w:rPr>
      </w:pPr>
    </w:p>
    <w:p w14:paraId="26A0AAC6" w14:textId="478E2DF1" w:rsidR="08A97F58" w:rsidRPr="00D77028" w:rsidRDefault="08A97F58" w:rsidP="0BB85E46">
      <w:pPr>
        <w:pStyle w:val="NormalWeb"/>
        <w:rPr>
          <w:rFonts w:ascii="Century Gothic" w:eastAsia="Calibri" w:hAnsi="Century Gothic" w:cs="Calibri"/>
          <w:b/>
          <w:bCs/>
        </w:rPr>
      </w:pPr>
      <w:r w:rsidRPr="00D77028">
        <w:rPr>
          <w:rFonts w:ascii="Century Gothic" w:eastAsia="Calibri" w:hAnsi="Century Gothic" w:cs="Calibri"/>
          <w:b/>
          <w:bCs/>
        </w:rPr>
        <w:t xml:space="preserve">Resources: </w:t>
      </w:r>
    </w:p>
    <w:p w14:paraId="4553CFB1" w14:textId="36DF3BAC" w:rsidR="0BB85E46" w:rsidRPr="00D77028" w:rsidRDefault="08A97F58" w:rsidP="0BB85E46">
      <w:pPr>
        <w:pStyle w:val="NormalWeb"/>
        <w:rPr>
          <w:rFonts w:ascii="Century Gothic" w:eastAsia="Calibri" w:hAnsi="Century Gothic" w:cs="Calibri"/>
        </w:rPr>
      </w:pPr>
      <w:r w:rsidRPr="00D77028">
        <w:rPr>
          <w:rFonts w:ascii="Century Gothic" w:eastAsia="Calibri" w:hAnsi="Century Gothic" w:cs="Calibri"/>
        </w:rPr>
        <w:t xml:space="preserve">Center for Disease Control and Prevention, “Interim Guidance for a Public Health Response to Contain Novel or Targeted Multidrug-resistant Organisms” Containment Strategy Guidelines. Updated January 2019, available online at: </w:t>
      </w:r>
      <w:hyperlink r:id="rId13">
        <w:r w:rsidRPr="00D77028">
          <w:rPr>
            <w:rStyle w:val="Hyperlink"/>
            <w:rFonts w:ascii="Century Gothic" w:eastAsia="Calibri" w:hAnsi="Century Gothic" w:cs="Calibri"/>
          </w:rPr>
          <w:t>Health-Response-Contain-MDRO-H.pdf (cdc.gov)</w:t>
        </w:r>
      </w:hyperlink>
    </w:p>
    <w:p w14:paraId="33180FFD" w14:textId="49EE6CAF" w:rsidR="0BB85E46" w:rsidRPr="00D77028" w:rsidRDefault="08A97F58" w:rsidP="0BB85E46">
      <w:pPr>
        <w:pStyle w:val="NormalWeb"/>
        <w:rPr>
          <w:rFonts w:ascii="Century Gothic" w:eastAsia="Calibri" w:hAnsi="Century Gothic" w:cs="Calibri"/>
          <w:color w:val="7030A0"/>
        </w:rPr>
      </w:pPr>
      <w:r w:rsidRPr="00D77028">
        <w:rPr>
          <w:rFonts w:ascii="Century Gothic" w:eastAsia="Calibri" w:hAnsi="Century Gothic" w:cs="Calibri"/>
        </w:rPr>
        <w:t>Center for Disease Control and Prevention, “Multidrug-resistant organisms (MDRO) Management) Infection Control. Updated February 15, 2017 available online at:</w:t>
      </w:r>
      <w:r w:rsidRPr="00D77028">
        <w:rPr>
          <w:rStyle w:val="Hyperlink"/>
          <w:rFonts w:ascii="Century Gothic" w:eastAsia="Calibri" w:hAnsi="Century Gothic" w:cs="Calibri"/>
        </w:rPr>
        <w:t xml:space="preserve"> </w:t>
      </w:r>
      <w:hyperlink r:id="rId14">
        <w:r w:rsidRPr="00D77028">
          <w:rPr>
            <w:rStyle w:val="Hyperlink"/>
            <w:rFonts w:ascii="Century Gothic" w:eastAsia="Calibri" w:hAnsi="Century Gothic" w:cs="Calibri"/>
          </w:rPr>
          <w:t>MDRO Management | Guidelines Library | Infection Control | CDC</w:t>
        </w:r>
      </w:hyperlink>
      <w:r w:rsidRPr="00D77028">
        <w:rPr>
          <w:rFonts w:ascii="Century Gothic" w:eastAsia="Calibri" w:hAnsi="Century Gothic" w:cs="Calibri"/>
        </w:rPr>
        <w:t xml:space="preserve"> </w:t>
      </w:r>
    </w:p>
    <w:p w14:paraId="49057FFF" w14:textId="5ACC5E19" w:rsidR="0BB85E46" w:rsidRPr="00D77028" w:rsidRDefault="08A97F58" w:rsidP="0BB85E46">
      <w:pPr>
        <w:pStyle w:val="NormalWeb"/>
        <w:rPr>
          <w:rFonts w:ascii="Century Gothic" w:eastAsia="Calibri" w:hAnsi="Century Gothic" w:cs="Calibri"/>
        </w:rPr>
      </w:pPr>
      <w:r w:rsidRPr="00D77028">
        <w:rPr>
          <w:rFonts w:ascii="Century Gothic" w:eastAsia="Calibri" w:hAnsi="Century Gothic" w:cs="Calibri"/>
        </w:rPr>
        <w:lastRenderedPageBreak/>
        <w:t xml:space="preserve">Massachusetts Department of Public Health, “Guidance for Control of Targeted Multi-Drug Resistant Organisms (MDROs)” Updated February 7, 2020, available online at </w:t>
      </w:r>
      <w:hyperlink r:id="rId15" w:anchor=":~:text=The%20Massachusetts%20MDRO%20Toolkit%20is%20designed%20to%20aid,multi-drug%20resistant%20organisms%20across%20the%20continuum%20of%20healthcare.">
        <w:r w:rsidRPr="00D77028">
          <w:rPr>
            <w:rStyle w:val="Hyperlink"/>
            <w:rFonts w:ascii="Century Gothic" w:eastAsia="Calibri" w:hAnsi="Century Gothic" w:cs="Calibri"/>
          </w:rPr>
          <w:t>MDPHMDROToolkit_FINAL.pdf (healthcentricadvisors.org)</w:t>
        </w:r>
      </w:hyperlink>
      <w:r w:rsidRPr="00D77028">
        <w:rPr>
          <w:rFonts w:ascii="Century Gothic" w:eastAsia="Calibri" w:hAnsi="Century Gothic" w:cs="Calibri"/>
        </w:rPr>
        <w:t xml:space="preserve"> </w:t>
      </w:r>
    </w:p>
    <w:p w14:paraId="67E46C4E" w14:textId="6D42CDD4" w:rsidR="0BB85E46" w:rsidRPr="00D77028" w:rsidRDefault="08A97F58" w:rsidP="0BB85E46">
      <w:pPr>
        <w:pStyle w:val="NormalWeb"/>
        <w:rPr>
          <w:rFonts w:ascii="Century Gothic" w:eastAsia="Calibri" w:hAnsi="Century Gothic" w:cs="Calibri"/>
        </w:rPr>
      </w:pPr>
      <w:r w:rsidRPr="00D77028">
        <w:rPr>
          <w:rFonts w:ascii="Century Gothic" w:eastAsia="Calibri" w:hAnsi="Century Gothic" w:cs="Calibri"/>
        </w:rPr>
        <w:t xml:space="preserve">Oregon Health </w:t>
      </w:r>
      <w:proofErr w:type="spellStart"/>
      <w:r w:rsidRPr="00D77028">
        <w:rPr>
          <w:rFonts w:ascii="Century Gothic" w:eastAsia="Calibri" w:hAnsi="Century Gothic" w:cs="Calibri"/>
        </w:rPr>
        <w:t>Authority,”Oregon</w:t>
      </w:r>
      <w:proofErr w:type="spellEnd"/>
      <w:r w:rsidRPr="00D77028">
        <w:rPr>
          <w:rFonts w:ascii="Century Gothic" w:eastAsia="Calibri" w:hAnsi="Century Gothic" w:cs="Calibri"/>
        </w:rPr>
        <w:t xml:space="preserve"> Multidrug-Resistant Organism and Clostridioides Difficile Toolkit”, updated October 30, 2019, available online at: </w:t>
      </w:r>
      <w:hyperlink r:id="rId16">
        <w:r w:rsidRPr="00D77028">
          <w:rPr>
            <w:rStyle w:val="Hyperlink"/>
            <w:rFonts w:ascii="Century Gothic" w:eastAsia="Calibri" w:hAnsi="Century Gothic" w:cs="Calibri"/>
          </w:rPr>
          <w:t>MDRO_TOOLKIT.pdf (oregon.gov)</w:t>
        </w:r>
      </w:hyperlink>
    </w:p>
    <w:p w14:paraId="154FFAE8" w14:textId="7D07AFB2" w:rsidR="08A97F58" w:rsidRPr="00D77028" w:rsidRDefault="08A97F58" w:rsidP="0BB85E46">
      <w:pPr>
        <w:pStyle w:val="NormalWeb"/>
        <w:rPr>
          <w:rFonts w:ascii="Century Gothic" w:eastAsia="Calibri" w:hAnsi="Century Gothic" w:cs="Calibri"/>
        </w:rPr>
      </w:pPr>
      <w:r w:rsidRPr="00D77028">
        <w:rPr>
          <w:rFonts w:ascii="Century Gothic" w:eastAsia="Calibri" w:hAnsi="Century Gothic" w:cs="Calibri"/>
        </w:rPr>
        <w:t xml:space="preserve">Washington State Hospital Association, “Washington State’s New Pathogen Law” Law Change: Hospitals Must Adopt Pathogen Policy </w:t>
      </w:r>
      <w:proofErr w:type="gramStart"/>
      <w:r w:rsidRPr="00D77028">
        <w:rPr>
          <w:rFonts w:ascii="Century Gothic" w:eastAsia="Calibri" w:hAnsi="Century Gothic" w:cs="Calibri"/>
        </w:rPr>
        <w:t>By</w:t>
      </w:r>
      <w:proofErr w:type="gramEnd"/>
      <w:r w:rsidRPr="00D77028">
        <w:rPr>
          <w:rFonts w:ascii="Century Gothic" w:eastAsia="Calibri" w:hAnsi="Century Gothic" w:cs="Calibri"/>
        </w:rPr>
        <w:t xml:space="preserve"> January 1, 2023. June 8, 2022. Available online at: </w:t>
      </w:r>
      <w:hyperlink r:id="rId17">
        <w:r w:rsidRPr="00D77028">
          <w:rPr>
            <w:rStyle w:val="Hyperlink"/>
            <w:rFonts w:ascii="Century Gothic" w:eastAsia="Calibri" w:hAnsi="Century Gothic" w:cs="Calibri"/>
          </w:rPr>
          <w:t>PowerPoint Presentation (wsha.org)</w:t>
        </w:r>
      </w:hyperlink>
    </w:p>
    <w:p w14:paraId="734C1C81" w14:textId="77777777" w:rsidR="00114A20" w:rsidRPr="00D77028" w:rsidRDefault="00114A20" w:rsidP="00114A20">
      <w:pPr>
        <w:pStyle w:val="NormalWeb"/>
        <w:rPr>
          <w:rFonts w:ascii="Century Gothic" w:eastAsia="Calibri" w:hAnsi="Century Gothic" w:cs="Calibri"/>
        </w:rPr>
      </w:pPr>
      <w:r w:rsidRPr="00D77028">
        <w:rPr>
          <w:rFonts w:ascii="Century Gothic" w:eastAsia="Calibri" w:hAnsi="Century Gothic" w:cs="Calibri"/>
        </w:rPr>
        <w:t xml:space="preserve">Washington State Department of Health, “Carbapenem-Resistant Enterobacteriaceae Reporting and Investigation Guideline” Updated March 2022, available online at: </w:t>
      </w:r>
      <w:hyperlink r:id="rId18">
        <w:r w:rsidRPr="00D77028">
          <w:rPr>
            <w:rStyle w:val="Hyperlink"/>
            <w:rFonts w:ascii="Century Gothic" w:eastAsia="Calibri" w:hAnsi="Century Gothic" w:cs="Calibri"/>
          </w:rPr>
          <w:t>Carbapenem-Resistant Enterobacteriaceae Reporting and Investigation Guideline (wa.gov)</w:t>
        </w:r>
      </w:hyperlink>
      <w:r w:rsidRPr="00D77028">
        <w:rPr>
          <w:rFonts w:ascii="Century Gothic" w:eastAsia="Calibri" w:hAnsi="Century Gothic" w:cs="Calibri"/>
        </w:rPr>
        <w:t xml:space="preserve"> </w:t>
      </w:r>
    </w:p>
    <w:p w14:paraId="1D9C6783" w14:textId="77F18F02" w:rsidR="0BB85E46" w:rsidRPr="00D77028" w:rsidRDefault="0BB85E46" w:rsidP="0BB85E46">
      <w:pPr>
        <w:rPr>
          <w:rFonts w:ascii="Century Gothic" w:hAnsi="Century Gothic"/>
          <w:b/>
          <w:bCs/>
          <w:sz w:val="32"/>
          <w:szCs w:val="32"/>
        </w:rPr>
      </w:pPr>
    </w:p>
    <w:sectPr w:rsidR="0BB85E46" w:rsidRPr="00D77028" w:rsidSect="00767E22">
      <w:footerReference w:type="default" r:id="rId1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E347" w14:textId="77777777" w:rsidR="009A4E4B" w:rsidRDefault="009A4E4B" w:rsidP="00767E22">
      <w:pPr>
        <w:spacing w:after="0" w:line="240" w:lineRule="auto"/>
      </w:pPr>
      <w:r>
        <w:separator/>
      </w:r>
    </w:p>
  </w:endnote>
  <w:endnote w:type="continuationSeparator" w:id="0">
    <w:p w14:paraId="6BC49103" w14:textId="77777777" w:rsidR="009A4E4B" w:rsidRDefault="009A4E4B" w:rsidP="00767E22">
      <w:pPr>
        <w:spacing w:after="0" w:line="240" w:lineRule="auto"/>
      </w:pPr>
      <w:r>
        <w:continuationSeparator/>
      </w:r>
    </w:p>
  </w:endnote>
  <w:endnote w:type="continuationNotice" w:id="1">
    <w:p w14:paraId="562574F6" w14:textId="77777777" w:rsidR="009A4E4B" w:rsidRDefault="009A4E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5515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F825C" w14:textId="44CEF88B" w:rsidR="00D77028" w:rsidRDefault="00D770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BEEFB8" w14:textId="78B088B6" w:rsidR="00D77028" w:rsidRDefault="00147ED3">
    <w:pPr>
      <w:pStyle w:val="Footer"/>
    </w:pPr>
    <w:r>
      <w:t>WA DO</w:t>
    </w:r>
    <w:r w:rsidR="00334A06">
      <w:t>H 9/12/22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E014" w14:textId="77777777" w:rsidR="009A4E4B" w:rsidRDefault="009A4E4B" w:rsidP="00767E22">
      <w:pPr>
        <w:spacing w:after="0" w:line="240" w:lineRule="auto"/>
      </w:pPr>
      <w:r>
        <w:separator/>
      </w:r>
    </w:p>
  </w:footnote>
  <w:footnote w:type="continuationSeparator" w:id="0">
    <w:p w14:paraId="4E920AC7" w14:textId="77777777" w:rsidR="009A4E4B" w:rsidRDefault="009A4E4B" w:rsidP="00767E22">
      <w:pPr>
        <w:spacing w:after="0" w:line="240" w:lineRule="auto"/>
      </w:pPr>
      <w:r>
        <w:continuationSeparator/>
      </w:r>
    </w:p>
  </w:footnote>
  <w:footnote w:type="continuationNotice" w:id="1">
    <w:p w14:paraId="47349F60" w14:textId="77777777" w:rsidR="009A4E4B" w:rsidRDefault="009A4E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607FB"/>
    <w:multiLevelType w:val="hybridMultilevel"/>
    <w:tmpl w:val="FFFFFFFF"/>
    <w:lvl w:ilvl="0" w:tplc="8F7277AE">
      <w:start w:val="1"/>
      <w:numFmt w:val="decimal"/>
      <w:lvlText w:val="%1."/>
      <w:lvlJc w:val="left"/>
      <w:pPr>
        <w:ind w:left="720" w:hanging="360"/>
      </w:pPr>
    </w:lvl>
    <w:lvl w:ilvl="1" w:tplc="D3924240">
      <w:start w:val="1"/>
      <w:numFmt w:val="lowerLetter"/>
      <w:lvlText w:val="%2."/>
      <w:lvlJc w:val="left"/>
      <w:pPr>
        <w:ind w:left="1440" w:hanging="360"/>
      </w:pPr>
    </w:lvl>
    <w:lvl w:ilvl="2" w:tplc="17662570">
      <w:start w:val="1"/>
      <w:numFmt w:val="lowerRoman"/>
      <w:lvlText w:val="%3."/>
      <w:lvlJc w:val="right"/>
      <w:pPr>
        <w:ind w:left="2160" w:hanging="180"/>
      </w:pPr>
    </w:lvl>
    <w:lvl w:ilvl="3" w:tplc="A90A71BC">
      <w:start w:val="1"/>
      <w:numFmt w:val="decimal"/>
      <w:lvlText w:val="%4."/>
      <w:lvlJc w:val="left"/>
      <w:pPr>
        <w:ind w:left="2880" w:hanging="360"/>
      </w:pPr>
    </w:lvl>
    <w:lvl w:ilvl="4" w:tplc="A41AFBC0">
      <w:start w:val="1"/>
      <w:numFmt w:val="lowerLetter"/>
      <w:lvlText w:val="%5."/>
      <w:lvlJc w:val="left"/>
      <w:pPr>
        <w:ind w:left="3600" w:hanging="360"/>
      </w:pPr>
    </w:lvl>
    <w:lvl w:ilvl="5" w:tplc="879CFB5C">
      <w:start w:val="1"/>
      <w:numFmt w:val="lowerRoman"/>
      <w:lvlText w:val="%6."/>
      <w:lvlJc w:val="right"/>
      <w:pPr>
        <w:ind w:left="4320" w:hanging="180"/>
      </w:pPr>
    </w:lvl>
    <w:lvl w:ilvl="6" w:tplc="A01C00AA">
      <w:start w:val="1"/>
      <w:numFmt w:val="decimal"/>
      <w:lvlText w:val="%7."/>
      <w:lvlJc w:val="left"/>
      <w:pPr>
        <w:ind w:left="5040" w:hanging="360"/>
      </w:pPr>
    </w:lvl>
    <w:lvl w:ilvl="7" w:tplc="EC040BCE">
      <w:start w:val="1"/>
      <w:numFmt w:val="lowerLetter"/>
      <w:lvlText w:val="%8."/>
      <w:lvlJc w:val="left"/>
      <w:pPr>
        <w:ind w:left="5760" w:hanging="360"/>
      </w:pPr>
    </w:lvl>
    <w:lvl w:ilvl="8" w:tplc="226E17E4">
      <w:start w:val="1"/>
      <w:numFmt w:val="lowerRoman"/>
      <w:lvlText w:val="%9."/>
      <w:lvlJc w:val="right"/>
      <w:pPr>
        <w:ind w:left="6480" w:hanging="180"/>
      </w:pPr>
    </w:lvl>
  </w:abstractNum>
  <w:num w:numId="1" w16cid:durableId="64678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22"/>
    <w:rsid w:val="00003254"/>
    <w:rsid w:val="000218E8"/>
    <w:rsid w:val="00030863"/>
    <w:rsid w:val="00036F2D"/>
    <w:rsid w:val="0004173D"/>
    <w:rsid w:val="00090377"/>
    <w:rsid w:val="00114A20"/>
    <w:rsid w:val="00122A50"/>
    <w:rsid w:val="00147ED3"/>
    <w:rsid w:val="0015297B"/>
    <w:rsid w:val="00183920"/>
    <w:rsid w:val="001A6179"/>
    <w:rsid w:val="001B7C57"/>
    <w:rsid w:val="001F166E"/>
    <w:rsid w:val="00206298"/>
    <w:rsid w:val="002158E5"/>
    <w:rsid w:val="00241E80"/>
    <w:rsid w:val="002857ED"/>
    <w:rsid w:val="002C1056"/>
    <w:rsid w:val="002D3630"/>
    <w:rsid w:val="002F12DB"/>
    <w:rsid w:val="00306FE8"/>
    <w:rsid w:val="0031586C"/>
    <w:rsid w:val="00334A06"/>
    <w:rsid w:val="003424A4"/>
    <w:rsid w:val="00345D82"/>
    <w:rsid w:val="0035673E"/>
    <w:rsid w:val="003869DA"/>
    <w:rsid w:val="003E3B70"/>
    <w:rsid w:val="003E4318"/>
    <w:rsid w:val="00415986"/>
    <w:rsid w:val="00447A37"/>
    <w:rsid w:val="0045463A"/>
    <w:rsid w:val="00483080"/>
    <w:rsid w:val="00485FB0"/>
    <w:rsid w:val="004C21F4"/>
    <w:rsid w:val="004D4322"/>
    <w:rsid w:val="004D47EA"/>
    <w:rsid w:val="004E31C8"/>
    <w:rsid w:val="00501B08"/>
    <w:rsid w:val="0052324C"/>
    <w:rsid w:val="00537A3C"/>
    <w:rsid w:val="005B16F2"/>
    <w:rsid w:val="00603827"/>
    <w:rsid w:val="0061195B"/>
    <w:rsid w:val="00631DA5"/>
    <w:rsid w:val="0063513B"/>
    <w:rsid w:val="00644C95"/>
    <w:rsid w:val="0066690D"/>
    <w:rsid w:val="0066AAA5"/>
    <w:rsid w:val="00683EE4"/>
    <w:rsid w:val="0069561A"/>
    <w:rsid w:val="006A7727"/>
    <w:rsid w:val="006C5B3D"/>
    <w:rsid w:val="006D311E"/>
    <w:rsid w:val="00714B32"/>
    <w:rsid w:val="007202ED"/>
    <w:rsid w:val="007215C6"/>
    <w:rsid w:val="007552A8"/>
    <w:rsid w:val="00767E22"/>
    <w:rsid w:val="0077171F"/>
    <w:rsid w:val="00786A62"/>
    <w:rsid w:val="007970DA"/>
    <w:rsid w:val="007B395E"/>
    <w:rsid w:val="007F60B4"/>
    <w:rsid w:val="008507BC"/>
    <w:rsid w:val="00865B56"/>
    <w:rsid w:val="00866A99"/>
    <w:rsid w:val="00896F3C"/>
    <w:rsid w:val="008A69A4"/>
    <w:rsid w:val="008F5B93"/>
    <w:rsid w:val="009027E8"/>
    <w:rsid w:val="00911524"/>
    <w:rsid w:val="0091269B"/>
    <w:rsid w:val="00926674"/>
    <w:rsid w:val="00933932"/>
    <w:rsid w:val="0094262F"/>
    <w:rsid w:val="00966BE4"/>
    <w:rsid w:val="009A45B4"/>
    <w:rsid w:val="009A4E4B"/>
    <w:rsid w:val="009B0511"/>
    <w:rsid w:val="009B51BC"/>
    <w:rsid w:val="009C58DC"/>
    <w:rsid w:val="009E130E"/>
    <w:rsid w:val="00A01583"/>
    <w:rsid w:val="00A34549"/>
    <w:rsid w:val="00A669FF"/>
    <w:rsid w:val="00AE35A1"/>
    <w:rsid w:val="00AE42B5"/>
    <w:rsid w:val="00AF208C"/>
    <w:rsid w:val="00B101B3"/>
    <w:rsid w:val="00B1111D"/>
    <w:rsid w:val="00B237A6"/>
    <w:rsid w:val="00B3598E"/>
    <w:rsid w:val="00B5545A"/>
    <w:rsid w:val="00BD0B5C"/>
    <w:rsid w:val="00C6131D"/>
    <w:rsid w:val="00CC4073"/>
    <w:rsid w:val="00D10FA9"/>
    <w:rsid w:val="00D1325F"/>
    <w:rsid w:val="00D33A0E"/>
    <w:rsid w:val="00D60E21"/>
    <w:rsid w:val="00D77028"/>
    <w:rsid w:val="00D9441C"/>
    <w:rsid w:val="00DE1EAB"/>
    <w:rsid w:val="00DE44E3"/>
    <w:rsid w:val="00DF0BEE"/>
    <w:rsid w:val="00E03A6D"/>
    <w:rsid w:val="00E13B15"/>
    <w:rsid w:val="00E50BE4"/>
    <w:rsid w:val="00E56FAF"/>
    <w:rsid w:val="00E57E2E"/>
    <w:rsid w:val="00E67BF7"/>
    <w:rsid w:val="00E67F78"/>
    <w:rsid w:val="00E74966"/>
    <w:rsid w:val="00E82122"/>
    <w:rsid w:val="00E83F7C"/>
    <w:rsid w:val="00F16B02"/>
    <w:rsid w:val="00F31110"/>
    <w:rsid w:val="00F436F1"/>
    <w:rsid w:val="00F95B45"/>
    <w:rsid w:val="00FA3C66"/>
    <w:rsid w:val="00FE12C7"/>
    <w:rsid w:val="01DA0578"/>
    <w:rsid w:val="01FC65B3"/>
    <w:rsid w:val="02C887F9"/>
    <w:rsid w:val="034519B1"/>
    <w:rsid w:val="0381C39A"/>
    <w:rsid w:val="03EC39FD"/>
    <w:rsid w:val="03EDA94E"/>
    <w:rsid w:val="0405F5BC"/>
    <w:rsid w:val="0428731A"/>
    <w:rsid w:val="05741596"/>
    <w:rsid w:val="05916735"/>
    <w:rsid w:val="067C7ED9"/>
    <w:rsid w:val="068CD868"/>
    <w:rsid w:val="06BC2B59"/>
    <w:rsid w:val="074D9540"/>
    <w:rsid w:val="0828A8C9"/>
    <w:rsid w:val="084C55A6"/>
    <w:rsid w:val="08A97F58"/>
    <w:rsid w:val="09A070C7"/>
    <w:rsid w:val="09ACFCE6"/>
    <w:rsid w:val="09D023B2"/>
    <w:rsid w:val="0A76AB18"/>
    <w:rsid w:val="0B7ECEBD"/>
    <w:rsid w:val="0BB85E46"/>
    <w:rsid w:val="0BCA2EBD"/>
    <w:rsid w:val="0BD5ADFD"/>
    <w:rsid w:val="0C388CC1"/>
    <w:rsid w:val="0D8614D0"/>
    <w:rsid w:val="0F1C4916"/>
    <w:rsid w:val="0F498452"/>
    <w:rsid w:val="0F8DE2A4"/>
    <w:rsid w:val="1033B371"/>
    <w:rsid w:val="1046C642"/>
    <w:rsid w:val="1095B963"/>
    <w:rsid w:val="11343E5F"/>
    <w:rsid w:val="117B5CE6"/>
    <w:rsid w:val="11C4F228"/>
    <w:rsid w:val="121CDFA5"/>
    <w:rsid w:val="12208C56"/>
    <w:rsid w:val="12ED2413"/>
    <w:rsid w:val="140EF715"/>
    <w:rsid w:val="144B5D40"/>
    <w:rsid w:val="146153C7"/>
    <w:rsid w:val="14DCF85D"/>
    <w:rsid w:val="1500C6B7"/>
    <w:rsid w:val="1548175D"/>
    <w:rsid w:val="163E400E"/>
    <w:rsid w:val="16440285"/>
    <w:rsid w:val="16D106EB"/>
    <w:rsid w:val="16DAD51C"/>
    <w:rsid w:val="16E4C35D"/>
    <w:rsid w:val="1822942E"/>
    <w:rsid w:val="182E536F"/>
    <w:rsid w:val="192D46F2"/>
    <w:rsid w:val="19507F72"/>
    <w:rsid w:val="19A1F6C9"/>
    <w:rsid w:val="19DADB3F"/>
    <w:rsid w:val="1A585E97"/>
    <w:rsid w:val="1AC270D2"/>
    <w:rsid w:val="1B11B131"/>
    <w:rsid w:val="1B2BC044"/>
    <w:rsid w:val="1B4A0B47"/>
    <w:rsid w:val="1BA6A31D"/>
    <w:rsid w:val="1C39D031"/>
    <w:rsid w:val="1CAD8192"/>
    <w:rsid w:val="1D1F8811"/>
    <w:rsid w:val="1D3AC96F"/>
    <w:rsid w:val="1DB7B4AF"/>
    <w:rsid w:val="1DFB67C2"/>
    <w:rsid w:val="1E010CE5"/>
    <w:rsid w:val="1EDFD1AE"/>
    <w:rsid w:val="1F2BCFBA"/>
    <w:rsid w:val="1F319383"/>
    <w:rsid w:val="1FAA2EB1"/>
    <w:rsid w:val="207D7339"/>
    <w:rsid w:val="207E5C43"/>
    <w:rsid w:val="2147C455"/>
    <w:rsid w:val="22214669"/>
    <w:rsid w:val="223CB580"/>
    <w:rsid w:val="22702221"/>
    <w:rsid w:val="246AA946"/>
    <w:rsid w:val="24FC78FE"/>
    <w:rsid w:val="251C7854"/>
    <w:rsid w:val="25495C78"/>
    <w:rsid w:val="2566D82A"/>
    <w:rsid w:val="25A4866C"/>
    <w:rsid w:val="25FC6C80"/>
    <w:rsid w:val="2625FAF8"/>
    <w:rsid w:val="268BBB84"/>
    <w:rsid w:val="270A3256"/>
    <w:rsid w:val="277F6FD0"/>
    <w:rsid w:val="2793667C"/>
    <w:rsid w:val="27A00548"/>
    <w:rsid w:val="27B705D9"/>
    <w:rsid w:val="27CCC8A4"/>
    <w:rsid w:val="27E4BBD9"/>
    <w:rsid w:val="27F38E38"/>
    <w:rsid w:val="283A2356"/>
    <w:rsid w:val="286E02E2"/>
    <w:rsid w:val="28B15396"/>
    <w:rsid w:val="28DE14ED"/>
    <w:rsid w:val="2A0BB9D8"/>
    <w:rsid w:val="2ADA6D07"/>
    <w:rsid w:val="2ADC5342"/>
    <w:rsid w:val="2BD90EB9"/>
    <w:rsid w:val="2CF286CE"/>
    <w:rsid w:val="2D79255E"/>
    <w:rsid w:val="2DA2F101"/>
    <w:rsid w:val="2DB785D7"/>
    <w:rsid w:val="2E54C446"/>
    <w:rsid w:val="2F969C08"/>
    <w:rsid w:val="2FAF6E9D"/>
    <w:rsid w:val="302ED11D"/>
    <w:rsid w:val="30A30C6D"/>
    <w:rsid w:val="30CB881C"/>
    <w:rsid w:val="31C986DE"/>
    <w:rsid w:val="323786C0"/>
    <w:rsid w:val="32CE3CCA"/>
    <w:rsid w:val="348A7141"/>
    <w:rsid w:val="34A40131"/>
    <w:rsid w:val="351A081F"/>
    <w:rsid w:val="35D8AD39"/>
    <w:rsid w:val="38610807"/>
    <w:rsid w:val="39777254"/>
    <w:rsid w:val="3AEEC979"/>
    <w:rsid w:val="3BE363C5"/>
    <w:rsid w:val="3C39A93E"/>
    <w:rsid w:val="3C8A99DA"/>
    <w:rsid w:val="3CAD39BA"/>
    <w:rsid w:val="3CF538F5"/>
    <w:rsid w:val="3D0702FE"/>
    <w:rsid w:val="3D5F0E0A"/>
    <w:rsid w:val="3E266A3B"/>
    <w:rsid w:val="3FFBCA25"/>
    <w:rsid w:val="4129B48B"/>
    <w:rsid w:val="42357E22"/>
    <w:rsid w:val="4287F267"/>
    <w:rsid w:val="42E9E5A2"/>
    <w:rsid w:val="42FC44B8"/>
    <w:rsid w:val="439DDBAA"/>
    <w:rsid w:val="4786F4CC"/>
    <w:rsid w:val="479D7D34"/>
    <w:rsid w:val="479F2B89"/>
    <w:rsid w:val="487E6457"/>
    <w:rsid w:val="49355433"/>
    <w:rsid w:val="49398C99"/>
    <w:rsid w:val="499B98F7"/>
    <w:rsid w:val="49EAF6DE"/>
    <w:rsid w:val="4A02D003"/>
    <w:rsid w:val="4CE69F9F"/>
    <w:rsid w:val="4CE94BB8"/>
    <w:rsid w:val="4D096F43"/>
    <w:rsid w:val="4D1701B8"/>
    <w:rsid w:val="4DEBCF82"/>
    <w:rsid w:val="505C036D"/>
    <w:rsid w:val="50CC2159"/>
    <w:rsid w:val="512B7621"/>
    <w:rsid w:val="524254C5"/>
    <w:rsid w:val="52E100D2"/>
    <w:rsid w:val="53427B3D"/>
    <w:rsid w:val="5378B0C7"/>
    <w:rsid w:val="53BCCFA3"/>
    <w:rsid w:val="54A5FD7E"/>
    <w:rsid w:val="5518331B"/>
    <w:rsid w:val="55584927"/>
    <w:rsid w:val="55F90E99"/>
    <w:rsid w:val="56891CF9"/>
    <w:rsid w:val="56B05189"/>
    <w:rsid w:val="579AB7A5"/>
    <w:rsid w:val="58C6DBAD"/>
    <w:rsid w:val="58F3C72C"/>
    <w:rsid w:val="5A49575A"/>
    <w:rsid w:val="5A49E586"/>
    <w:rsid w:val="5A4C4DFE"/>
    <w:rsid w:val="5A8DAD85"/>
    <w:rsid w:val="5B6231D2"/>
    <w:rsid w:val="5C2827B8"/>
    <w:rsid w:val="5CFE0233"/>
    <w:rsid w:val="5DFECBDB"/>
    <w:rsid w:val="5EA0CBC0"/>
    <w:rsid w:val="5F12CF7D"/>
    <w:rsid w:val="5FC1F061"/>
    <w:rsid w:val="61EBA803"/>
    <w:rsid w:val="626CDAAD"/>
    <w:rsid w:val="634163D1"/>
    <w:rsid w:val="637F8779"/>
    <w:rsid w:val="63D4679B"/>
    <w:rsid w:val="64812833"/>
    <w:rsid w:val="6487FF0A"/>
    <w:rsid w:val="65CF09FE"/>
    <w:rsid w:val="65D90535"/>
    <w:rsid w:val="661E67E5"/>
    <w:rsid w:val="669516F1"/>
    <w:rsid w:val="669DFF9B"/>
    <w:rsid w:val="66FDA0B3"/>
    <w:rsid w:val="67122AD8"/>
    <w:rsid w:val="67530830"/>
    <w:rsid w:val="67B8C8F5"/>
    <w:rsid w:val="68837028"/>
    <w:rsid w:val="6906AAC0"/>
    <w:rsid w:val="69F9BED6"/>
    <w:rsid w:val="6A018127"/>
    <w:rsid w:val="6AA27B21"/>
    <w:rsid w:val="6B3AA3E6"/>
    <w:rsid w:val="6DAF8D54"/>
    <w:rsid w:val="6DC05F03"/>
    <w:rsid w:val="6DDA1BE3"/>
    <w:rsid w:val="6F4B5DB5"/>
    <w:rsid w:val="7199420B"/>
    <w:rsid w:val="71A0EC1A"/>
    <w:rsid w:val="729C1E39"/>
    <w:rsid w:val="72FA97B8"/>
    <w:rsid w:val="7335126C"/>
    <w:rsid w:val="740C9A4E"/>
    <w:rsid w:val="741ECED8"/>
    <w:rsid w:val="746A2ED8"/>
    <w:rsid w:val="74D0E2CD"/>
    <w:rsid w:val="74E6E344"/>
    <w:rsid w:val="7605FF39"/>
    <w:rsid w:val="76540575"/>
    <w:rsid w:val="76A9B32C"/>
    <w:rsid w:val="77E59799"/>
    <w:rsid w:val="7808838F"/>
    <w:rsid w:val="78F0C517"/>
    <w:rsid w:val="7A08668E"/>
    <w:rsid w:val="7C2FC1F6"/>
    <w:rsid w:val="7CDD9A14"/>
    <w:rsid w:val="7D9F5F57"/>
    <w:rsid w:val="7E5DA097"/>
    <w:rsid w:val="7E915CAF"/>
    <w:rsid w:val="7EA04BB4"/>
    <w:rsid w:val="7F67A30D"/>
    <w:rsid w:val="7F74B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6BBB0"/>
  <w15:chartTrackingRefBased/>
  <w15:docId w15:val="{86719A47-EF39-4EC3-B059-5A83F299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4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1524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13B"/>
  </w:style>
  <w:style w:type="paragraph" w:styleId="Footer">
    <w:name w:val="footer"/>
    <w:basedOn w:val="Normal"/>
    <w:link w:val="FooterChar"/>
    <w:uiPriority w:val="99"/>
    <w:unhideWhenUsed/>
    <w:rsid w:val="00635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3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6D311E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A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hai/pdfs/containment/Health-Response-Contain-MDRO-H.pdf" TargetMode="External"/><Relationship Id="rId18" Type="http://schemas.openxmlformats.org/officeDocument/2006/relationships/hyperlink" Target="https://doh.wa.gov/sites/default/files/2022-02/420-097-Guideline-CRE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view.officeapps.live.com/op/view.aspx?src=https%3A%2F%2Fapic.org%2FResource_%2FTinyMceFileManager%2FAcademy%2FASC_101_resources%2FRisk_Assessment%2FRisk_Assessment_Example_2.docx&amp;wdOrigin=BROWSELINK" TargetMode="External"/><Relationship Id="rId17" Type="http://schemas.openxmlformats.org/officeDocument/2006/relationships/hyperlink" Target="http://www.wsha.org/wp-content/uploads/06.08.2022-HB-1739-Webinar-Full-Deck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regon.gov/oha/PH/DISEASESCONDITIONS/COMMUNICABLEDISEASE/HAI/Documents/MDROs/MDRO_TOOLKIT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ew.officeapps.live.com/op/view.aspx?src=https%3A%2F%2Fapic.org%2FResource_%2FTinyMceFileManager%2FEducation%2FASC_Intensive%2FResources_Page%2FASC_Risk_Assessment_Template.docx&amp;wdOrigin=BROWSELIN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ealthcentricadvisors.org/wp-content/uploads/2020/01/MDPHMDROToolkit_FINAL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infectioncontrol/guidelines/md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update xmlns="eabdfc55-4596-4747-b741-89d05bd6d2d5" xsi:nil="true"/>
    <_ip_UnifiedCompliancePolicyUIAction xmlns="http://schemas.microsoft.com/sharepoint/v3" xsi:nil="true"/>
    <_ip_UnifiedCompliancePolicyProperties xmlns="http://schemas.microsoft.com/sharepoint/v3" xsi:nil="true"/>
    <LocationonDOHsite xmlns="eabdfc55-4596-4747-b741-89d05bd6d2d5">
      <Url xsi:nil="true"/>
      <Description xsi:nil="true"/>
    </LocationonDOHsite>
    <_dlc_DocId xmlns="7f24eef0-8bcf-44cd-aa7c-c5856b043e95">MRVRZKX4HDJV-624557587-2506</_dlc_DocId>
    <_dlc_DocIdUrl xmlns="7f24eef0-8bcf-44cd-aa7c-c5856b043e95">
      <Url>https://stateofwa.sharepoint.com/sites/DOH-haiar/_layouts/15/DocIdRedir.aspx?ID=MRVRZKX4HDJV-624557587-2506</Url>
      <Description>MRVRZKX4HDJV-624557587-2506</Description>
    </_dlc_DocIdUrl>
    <lcf76f155ced4ddcb4097134ff3c332f xmlns="eabdfc55-4596-4747-b741-89d05bd6d2d5">
      <Terms xmlns="http://schemas.microsoft.com/office/infopath/2007/PartnerControls"/>
    </lcf76f155ced4ddcb4097134ff3c332f>
    <TaxCatchAll xmlns="7f24eef0-8bcf-44cd-aa7c-c5856b043e95" xsi:nil="true"/>
    <SharedWithUsers xmlns="7f24eef0-8bcf-44cd-aa7c-c5856b043e95">
      <UserInfo>
        <DisplayName>Podczervinski, Sara T (DOH)</DisplayName>
        <AccountId>18</AccountId>
        <AccountType/>
      </UserInfo>
      <UserInfo>
        <DisplayName>Mills, Elaina L (DOH)</DisplayName>
        <AccountId>650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31967DCECBB428D83DEF7C2F6A7E3" ma:contentTypeVersion="17" ma:contentTypeDescription="Create a new document." ma:contentTypeScope="" ma:versionID="dd554373c977e3dd86b1d459531bd4be">
  <xsd:schema xmlns:xsd="http://www.w3.org/2001/XMLSchema" xmlns:xs="http://www.w3.org/2001/XMLSchema" xmlns:p="http://schemas.microsoft.com/office/2006/metadata/properties" xmlns:ns1="http://schemas.microsoft.com/sharepoint/v3" xmlns:ns2="7f24eef0-8bcf-44cd-aa7c-c5856b043e95" xmlns:ns3="eabdfc55-4596-4747-b741-89d05bd6d2d5" targetNamespace="http://schemas.microsoft.com/office/2006/metadata/properties" ma:root="true" ma:fieldsID="4f152bce2daa3db3104e4725745da9a6" ns1:_="" ns2:_="" ns3:_="">
    <xsd:import namespace="http://schemas.microsoft.com/sharepoint/v3"/>
    <xsd:import namespace="7f24eef0-8bcf-44cd-aa7c-c5856b043e95"/>
    <xsd:import namespace="eabdfc55-4596-4747-b741-89d05bd6d2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astupdate" minOccurs="0"/>
                <xsd:element ref="ns3:LocationonDOHsite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4eef0-8bcf-44cd-aa7c-c5856b043e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8cf0fca7-4b09-4238-bbba-819eeceb765f}" ma:internalName="TaxCatchAll" ma:showField="CatchAllData" ma:web="7f24eef0-8bcf-44cd-aa7c-c5856b043e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dfc55-4596-4747-b741-89d05bd6d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astupdate" ma:index="12" nillable="true" ma:displayName="Last update" ma:format="DateOnly" ma:internalName="Lastupdate">
      <xsd:simpleType>
        <xsd:restriction base="dms:DateTime"/>
      </xsd:simpleType>
    </xsd:element>
    <xsd:element name="LocationonDOHsite" ma:index="13" nillable="true" ma:displayName="Location on DOH site" ma:format="Hyperlink" ma:internalName="LocationonDOHsi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32CCC6-CD77-47D2-A1E6-F97F83C79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3F7C0-A386-42E0-9FED-D58D83F0FD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9EEC82-FD2D-437A-981E-B6BCD246DADD}">
  <ds:schemaRefs>
    <ds:schemaRef ds:uri="http://schemas.microsoft.com/office/2006/metadata/properties"/>
    <ds:schemaRef ds:uri="http://schemas.microsoft.com/office/infopath/2007/PartnerControls"/>
    <ds:schemaRef ds:uri="eabdfc55-4596-4747-b741-89d05bd6d2d5"/>
    <ds:schemaRef ds:uri="http://schemas.microsoft.com/sharepoint/v3"/>
    <ds:schemaRef ds:uri="7f24eef0-8bcf-44cd-aa7c-c5856b043e95"/>
  </ds:schemaRefs>
</ds:datastoreItem>
</file>

<file path=customXml/itemProps4.xml><?xml version="1.0" encoding="utf-8"?>
<ds:datastoreItem xmlns:ds="http://schemas.openxmlformats.org/officeDocument/2006/customXml" ds:itemID="{A695FDF9-4918-4F31-B63F-7B642532A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24eef0-8bcf-44cd-aa7c-c5856b043e95"/>
    <ds:schemaRef ds:uri="eabdfc55-4596-4747-b741-89d05bd6d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Links>
    <vt:vector size="48" baseType="variant">
      <vt:variant>
        <vt:i4>4521986</vt:i4>
      </vt:variant>
      <vt:variant>
        <vt:i4>21</vt:i4>
      </vt:variant>
      <vt:variant>
        <vt:i4>0</vt:i4>
      </vt:variant>
      <vt:variant>
        <vt:i4>5</vt:i4>
      </vt:variant>
      <vt:variant>
        <vt:lpwstr>https://doh.wa.gov/sites/default/files/2022-02/420-097-Guideline-CRE.pdf</vt:lpwstr>
      </vt:variant>
      <vt:variant>
        <vt:lpwstr/>
      </vt:variant>
      <vt:variant>
        <vt:i4>7471151</vt:i4>
      </vt:variant>
      <vt:variant>
        <vt:i4>18</vt:i4>
      </vt:variant>
      <vt:variant>
        <vt:i4>0</vt:i4>
      </vt:variant>
      <vt:variant>
        <vt:i4>5</vt:i4>
      </vt:variant>
      <vt:variant>
        <vt:lpwstr>http://www.wsha.org/wp-content/uploads/06.08.2022-HB-1739-Webinar-Full-Deck.pdf</vt:lpwstr>
      </vt:variant>
      <vt:variant>
        <vt:lpwstr/>
      </vt:variant>
      <vt:variant>
        <vt:i4>6946898</vt:i4>
      </vt:variant>
      <vt:variant>
        <vt:i4>15</vt:i4>
      </vt:variant>
      <vt:variant>
        <vt:i4>0</vt:i4>
      </vt:variant>
      <vt:variant>
        <vt:i4>5</vt:i4>
      </vt:variant>
      <vt:variant>
        <vt:lpwstr>https://www.oregon.gov/oha/PH/DISEASESCONDITIONS/COMMUNICABLEDISEASE/HAI/Documents/MDROs/MDRO_TOOLKIT.pdf</vt:lpwstr>
      </vt:variant>
      <vt:variant>
        <vt:lpwstr/>
      </vt:variant>
      <vt:variant>
        <vt:i4>3145822</vt:i4>
      </vt:variant>
      <vt:variant>
        <vt:i4>12</vt:i4>
      </vt:variant>
      <vt:variant>
        <vt:i4>0</vt:i4>
      </vt:variant>
      <vt:variant>
        <vt:i4>5</vt:i4>
      </vt:variant>
      <vt:variant>
        <vt:lpwstr>https://healthcentricadvisors.org/wp-content/uploads/2020/01/MDPHMDROToolkit_FINAL.pdf</vt:lpwstr>
      </vt:variant>
      <vt:variant>
        <vt:lpwstr>:~:text=The%20Massachusetts%20MDRO%20Toolkit%20is%20designed%20to%20aid,multi-drug%20resistant%20organisms%20across%20the%20continuum%20of%20healthcare.</vt:lpwstr>
      </vt:variant>
      <vt:variant>
        <vt:i4>131102</vt:i4>
      </vt:variant>
      <vt:variant>
        <vt:i4>9</vt:i4>
      </vt:variant>
      <vt:variant>
        <vt:i4>0</vt:i4>
      </vt:variant>
      <vt:variant>
        <vt:i4>5</vt:i4>
      </vt:variant>
      <vt:variant>
        <vt:lpwstr>https://www.cdc.gov/infectioncontrol/guidelines/mdro/</vt:lpwstr>
      </vt:variant>
      <vt:variant>
        <vt:lpwstr/>
      </vt:variant>
      <vt:variant>
        <vt:i4>3932202</vt:i4>
      </vt:variant>
      <vt:variant>
        <vt:i4>6</vt:i4>
      </vt:variant>
      <vt:variant>
        <vt:i4>0</vt:i4>
      </vt:variant>
      <vt:variant>
        <vt:i4>5</vt:i4>
      </vt:variant>
      <vt:variant>
        <vt:lpwstr>https://www.cdc.gov/hai/pdfs/containment/Health-Response-Contain-MDRO-H.pdf</vt:lpwstr>
      </vt:variant>
      <vt:variant>
        <vt:lpwstr/>
      </vt:variant>
      <vt:variant>
        <vt:i4>5046310</vt:i4>
      </vt:variant>
      <vt:variant>
        <vt:i4>3</vt:i4>
      </vt:variant>
      <vt:variant>
        <vt:i4>0</vt:i4>
      </vt:variant>
      <vt:variant>
        <vt:i4>5</vt:i4>
      </vt:variant>
      <vt:variant>
        <vt:lpwstr>https://view.officeapps.live.com/op/view.aspx?src=https%3A%2F%2Fapic.org%2FResource_%2FTinyMceFileManager%2FAcademy%2FASC_101_resources%2FRisk_Assessment%2FRisk_Assessment_Example_2.docx&amp;wdOrigin=BROWSELINK</vt:lpwstr>
      </vt:variant>
      <vt:variant>
        <vt:lpwstr/>
      </vt:variant>
      <vt:variant>
        <vt:i4>2097268</vt:i4>
      </vt:variant>
      <vt:variant>
        <vt:i4>0</vt:i4>
      </vt:variant>
      <vt:variant>
        <vt:i4>0</vt:i4>
      </vt:variant>
      <vt:variant>
        <vt:i4>5</vt:i4>
      </vt:variant>
      <vt:variant>
        <vt:lpwstr>https://view.officeapps.live.com/op/view.aspx?src=https%3A%2F%2Fapic.org%2FResource_%2FTinyMceFileManager%2FEducation%2FASC_Intensive%2FResources_Page%2FASC_Risk_Assessment_Template.docx&amp;wdOrigin=BROWSELINK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 Risk Assessment Template</dc:title>
  <dc:subject/>
  <dc:creator>Mills, Elaina L (DOH)</dc:creator>
  <cp:keywords/>
  <dc:description/>
  <cp:lastModifiedBy>Sandra Assasnik</cp:lastModifiedBy>
  <cp:revision>2</cp:revision>
  <dcterms:created xsi:type="dcterms:W3CDTF">2023-01-04T17:45:00Z</dcterms:created>
  <dcterms:modified xsi:type="dcterms:W3CDTF">2023-01-04T17:45:00Z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2022-08-15T21:41:25Z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46a6d707-e3e4-464a-b046-eea17f12366f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0x010100E7731967DCECBB428D83DEF7C2F6A7E3</vt:lpwstr>
  </property>
  <property fmtid="{D5CDD505-2E9C-101B-9397-08002B2CF9AE}" pid="10" name="_dlc_DocIdItemGuid">
    <vt:lpwstr>b8aaffbb-7c16-486f-b1a2-d753b9f7b914</vt:lpwstr>
  </property>
  <property fmtid="{D5CDD505-2E9C-101B-9397-08002B2CF9AE}" pid="11" name="MediaServiceImageTags">
    <vt:lpwstr/>
  </property>
</Properties>
</file>